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9A92" w14:textId="752FBC31" w:rsidR="0019141C" w:rsidRDefault="0019141C" w:rsidP="007D3B9A">
      <w:pPr>
        <w:pStyle w:val="TOCHeading"/>
        <w:jc w:val="center"/>
        <w:rPr>
          <w:rFonts w:asciiTheme="minorHAnsi" w:hAnsiTheme="minorHAnsi" w:cstheme="minorHAnsi"/>
          <w:b/>
          <w:bCs/>
        </w:rPr>
      </w:pPr>
    </w:p>
    <w:p w14:paraId="4353A354" w14:textId="7AADAD58" w:rsidR="000E1B84" w:rsidRDefault="000E1B84" w:rsidP="000E1B84"/>
    <w:p w14:paraId="73E01562" w14:textId="76A139B9" w:rsidR="000E1B84" w:rsidRDefault="000E1B84" w:rsidP="000E1B84"/>
    <w:p w14:paraId="2230686B" w14:textId="36228E3D" w:rsidR="000E1B84" w:rsidRDefault="000E1B84" w:rsidP="000E1B84"/>
    <w:p w14:paraId="66B78AEE" w14:textId="1C9E18EA" w:rsidR="000E1B84" w:rsidRDefault="000E1B84" w:rsidP="000E1B84"/>
    <w:p w14:paraId="5B62E60A" w14:textId="18097509" w:rsidR="000E1B84" w:rsidRPr="000E1B84" w:rsidRDefault="000E1B84" w:rsidP="000E1B84">
      <w:pPr>
        <w:jc w:val="center"/>
        <w:rPr>
          <w:rFonts w:cstheme="minorHAnsi"/>
          <w:b/>
          <w:bCs/>
          <w:sz w:val="88"/>
          <w:szCs w:val="88"/>
        </w:rPr>
      </w:pPr>
      <w:r w:rsidRPr="000E1B84">
        <w:rPr>
          <w:rFonts w:cstheme="minorHAnsi"/>
          <w:b/>
          <w:bCs/>
          <w:sz w:val="88"/>
          <w:szCs w:val="88"/>
        </w:rPr>
        <w:t xml:space="preserve">Statement of Work </w:t>
      </w:r>
    </w:p>
    <w:p w14:paraId="36BA570D" w14:textId="77777777" w:rsidR="000E1B84" w:rsidRPr="000E1B84" w:rsidRDefault="000E1B84" w:rsidP="000E1B84"/>
    <w:p w14:paraId="2E0E2033" w14:textId="636EA31C" w:rsidR="0019141C" w:rsidRPr="0019141C" w:rsidRDefault="0019141C" w:rsidP="0019141C"/>
    <w:p w14:paraId="75520950" w14:textId="3F458850" w:rsidR="000E1B84" w:rsidRDefault="000E1B84" w:rsidP="000E1B84">
      <w:pPr>
        <w:jc w:val="center"/>
        <w:rPr>
          <w:rFonts w:cstheme="minorHAnsi"/>
          <w:b/>
          <w:bCs/>
        </w:rPr>
      </w:pPr>
      <w:r>
        <w:rPr>
          <w:rFonts w:eastAsiaTheme="majorEastAsia" w:cstheme="minorHAnsi"/>
          <w:b/>
          <w:bCs/>
          <w:noProof/>
          <w:color w:val="2F5496" w:themeColor="accent1" w:themeShade="BF"/>
          <w:sz w:val="32"/>
          <w:szCs w:val="32"/>
        </w:rPr>
        <w:drawing>
          <wp:inline distT="0" distB="0" distL="0" distR="0" wp14:anchorId="3DF346F2" wp14:editId="5824F571">
            <wp:extent cx="2104878" cy="50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4878" cy="504325"/>
                    </a:xfrm>
                    <a:prstGeom prst="rect">
                      <a:avLst/>
                    </a:prstGeom>
                  </pic:spPr>
                </pic:pic>
              </a:graphicData>
            </a:graphic>
          </wp:inline>
        </w:drawing>
      </w:r>
    </w:p>
    <w:p w14:paraId="698B4B6A" w14:textId="77777777" w:rsidR="000E1B84" w:rsidRDefault="000E1B84" w:rsidP="000E1B84">
      <w:pPr>
        <w:jc w:val="center"/>
        <w:rPr>
          <w:rFonts w:cstheme="minorHAnsi"/>
          <w:b/>
          <w:bCs/>
        </w:rPr>
      </w:pPr>
    </w:p>
    <w:p w14:paraId="39EFFBDF" w14:textId="77777777" w:rsidR="000E1B84" w:rsidRDefault="000E1B84" w:rsidP="000E1B84">
      <w:pPr>
        <w:jc w:val="center"/>
        <w:rPr>
          <w:rFonts w:cstheme="minorHAnsi"/>
          <w:b/>
          <w:bCs/>
        </w:rPr>
      </w:pPr>
    </w:p>
    <w:p w14:paraId="0AD2FE64" w14:textId="3E9D1636" w:rsidR="000E1B84" w:rsidRPr="000E1B84" w:rsidRDefault="000E1B84" w:rsidP="000E1B84">
      <w:pPr>
        <w:jc w:val="center"/>
        <w:rPr>
          <w:rFonts w:cstheme="minorHAnsi"/>
          <w:b/>
          <w:bCs/>
          <w:sz w:val="88"/>
          <w:szCs w:val="88"/>
        </w:rPr>
      </w:pPr>
      <w:r w:rsidRPr="000E1B84">
        <w:rPr>
          <w:rFonts w:cstheme="minorHAnsi"/>
          <w:b/>
          <w:bCs/>
          <w:sz w:val="88"/>
          <w:szCs w:val="88"/>
        </w:rPr>
        <w:t xml:space="preserve">Client Data </w:t>
      </w:r>
      <w:r>
        <w:rPr>
          <w:rFonts w:cstheme="minorHAnsi"/>
          <w:b/>
          <w:bCs/>
          <w:sz w:val="88"/>
          <w:szCs w:val="88"/>
        </w:rPr>
        <w:t>Import</w:t>
      </w:r>
    </w:p>
    <w:p w14:paraId="58C54199" w14:textId="77777777" w:rsidR="000E1B84" w:rsidRDefault="000E1B84" w:rsidP="000E1B84">
      <w:pPr>
        <w:jc w:val="center"/>
        <w:rPr>
          <w:rFonts w:cstheme="minorHAnsi"/>
          <w:b/>
          <w:bCs/>
        </w:rPr>
      </w:pPr>
    </w:p>
    <w:p w14:paraId="6DADD48F" w14:textId="3A54F378" w:rsidR="0019141C" w:rsidRDefault="0019141C" w:rsidP="000E1B84">
      <w:pPr>
        <w:jc w:val="center"/>
        <w:rPr>
          <w:rFonts w:cstheme="minorHAnsi"/>
          <w:b/>
          <w:bCs/>
        </w:rPr>
      </w:pPr>
      <w:r>
        <w:rPr>
          <w:rFonts w:cstheme="minorHAnsi"/>
          <w:b/>
          <w:bCs/>
        </w:rPr>
        <w:br w:type="page"/>
      </w:r>
    </w:p>
    <w:sdt>
      <w:sdtPr>
        <w:rPr>
          <w:rFonts w:asciiTheme="minorHAnsi" w:eastAsiaTheme="minorHAnsi" w:hAnsiTheme="minorHAnsi" w:cstheme="minorHAnsi"/>
          <w:b/>
          <w:bCs/>
          <w:color w:val="auto"/>
          <w:sz w:val="22"/>
          <w:szCs w:val="22"/>
        </w:rPr>
        <w:id w:val="981276556"/>
        <w:docPartObj>
          <w:docPartGallery w:val="Table of Contents"/>
          <w:docPartUnique/>
        </w:docPartObj>
      </w:sdtPr>
      <w:sdtEndPr>
        <w:rPr>
          <w:b w:val="0"/>
          <w:bCs w:val="0"/>
        </w:rPr>
      </w:sdtEndPr>
      <w:sdtContent>
        <w:p w14:paraId="4AAF8366" w14:textId="14787F06" w:rsidR="007D3B9A" w:rsidRPr="004D3E58" w:rsidRDefault="007D3B9A" w:rsidP="007D3B9A">
          <w:pPr>
            <w:pStyle w:val="TOCHeading"/>
            <w:jc w:val="center"/>
            <w:rPr>
              <w:rFonts w:asciiTheme="minorHAnsi" w:hAnsiTheme="minorHAnsi" w:cstheme="minorHAnsi"/>
              <w:b/>
              <w:bCs/>
              <w:color w:val="auto"/>
            </w:rPr>
          </w:pPr>
          <w:r w:rsidRPr="004D3E58">
            <w:rPr>
              <w:rFonts w:asciiTheme="minorHAnsi" w:hAnsiTheme="minorHAnsi" w:cstheme="minorHAnsi"/>
              <w:b/>
              <w:bCs/>
              <w:color w:val="auto"/>
            </w:rPr>
            <w:t>Table of Contents</w:t>
          </w:r>
        </w:p>
        <w:p w14:paraId="4A50C834" w14:textId="61E07194" w:rsidR="007D3B9A" w:rsidRPr="004D3E58" w:rsidRDefault="007D3B9A" w:rsidP="0019141C">
          <w:pPr>
            <w:pStyle w:val="TOC1"/>
          </w:pPr>
          <w:r w:rsidRPr="004D3E58">
            <w:t xml:space="preserve">Statement of Work </w:t>
          </w:r>
          <w:r w:rsidRPr="004D3E58">
            <w:ptab w:relativeTo="margin" w:alignment="right" w:leader="dot"/>
          </w:r>
          <w:r w:rsidR="000E1B84">
            <w:t>3</w:t>
          </w:r>
        </w:p>
        <w:p w14:paraId="181D5F2A" w14:textId="49C66308" w:rsidR="007D3B9A" w:rsidRPr="004D3E58" w:rsidRDefault="007D3B9A" w:rsidP="007D3B9A">
          <w:pPr>
            <w:pStyle w:val="TOC2"/>
            <w:ind w:left="216"/>
            <w:rPr>
              <w:rFonts w:cstheme="minorHAnsi"/>
            </w:rPr>
          </w:pPr>
          <w:r w:rsidRPr="004D3E58">
            <w:rPr>
              <w:rFonts w:cstheme="minorHAnsi"/>
            </w:rPr>
            <w:t>Import Consultation</w:t>
          </w:r>
          <w:r w:rsidRPr="004D3E58">
            <w:rPr>
              <w:rFonts w:cstheme="minorHAnsi"/>
            </w:rPr>
            <w:ptab w:relativeTo="margin" w:alignment="right" w:leader="dot"/>
          </w:r>
        </w:p>
        <w:p w14:paraId="39D893CB" w14:textId="5AD2114E" w:rsidR="007D3B9A" w:rsidRPr="004D3E58" w:rsidRDefault="007D3B9A" w:rsidP="0019141C">
          <w:pPr>
            <w:pStyle w:val="TOC3"/>
            <w:ind w:left="0" w:firstLine="216"/>
            <w:rPr>
              <w:rFonts w:cstheme="minorHAnsi"/>
            </w:rPr>
          </w:pPr>
          <w:r>
            <w:rPr>
              <w:rFonts w:cstheme="minorHAnsi"/>
            </w:rPr>
            <w:t>Import Details</w:t>
          </w:r>
          <w:r w:rsidRPr="004D3E58">
            <w:rPr>
              <w:rFonts w:cstheme="minorHAnsi"/>
            </w:rPr>
            <w:ptab w:relativeTo="margin" w:alignment="right" w:leader="dot"/>
          </w:r>
        </w:p>
        <w:p w14:paraId="44AA9BCD" w14:textId="47EED0A7" w:rsidR="007D3B9A" w:rsidRPr="004D3E58" w:rsidRDefault="007D3B9A" w:rsidP="0019141C">
          <w:pPr>
            <w:pStyle w:val="TOC3"/>
            <w:ind w:left="0" w:firstLine="216"/>
            <w:rPr>
              <w:rFonts w:cstheme="minorHAnsi"/>
            </w:rPr>
          </w:pPr>
          <w:r w:rsidRPr="004D3E58">
            <w:rPr>
              <w:rFonts w:cstheme="minorHAnsi"/>
            </w:rPr>
            <w:t>Forte Deliverables &amp; Requirements</w:t>
          </w:r>
          <w:r w:rsidRPr="004D3E58">
            <w:rPr>
              <w:rFonts w:cstheme="minorHAnsi"/>
            </w:rPr>
            <w:ptab w:relativeTo="margin" w:alignment="right" w:leader="dot"/>
          </w:r>
        </w:p>
        <w:p w14:paraId="3BC3866C" w14:textId="77777777" w:rsidR="0019141C" w:rsidRDefault="0019141C" w:rsidP="0019141C">
          <w:pPr>
            <w:pStyle w:val="TOC1"/>
          </w:pPr>
        </w:p>
        <w:p w14:paraId="6027E522" w14:textId="0736BCD8" w:rsidR="007D3B9A" w:rsidRPr="004D3E58" w:rsidRDefault="007D3B9A" w:rsidP="0019141C">
          <w:pPr>
            <w:pStyle w:val="TOC1"/>
          </w:pPr>
          <w:r w:rsidRPr="004D3E58">
            <w:t>Data Import Requirements &amp; Recommendations</w:t>
          </w:r>
          <w:r w:rsidRPr="004D3E58">
            <w:ptab w:relativeTo="margin" w:alignment="right" w:leader="dot"/>
          </w:r>
          <w:r w:rsidR="000E1B84">
            <w:t>4</w:t>
          </w:r>
        </w:p>
        <w:p w14:paraId="758E2523" w14:textId="766337C9" w:rsidR="007D3B9A" w:rsidRPr="004D3E58" w:rsidRDefault="007D3B9A" w:rsidP="007D3B9A">
          <w:pPr>
            <w:pStyle w:val="TOC2"/>
            <w:ind w:left="216"/>
            <w:rPr>
              <w:rFonts w:cstheme="minorHAnsi"/>
            </w:rPr>
          </w:pPr>
          <w:r w:rsidRPr="004D3E58">
            <w:rPr>
              <w:rFonts w:cstheme="minorHAnsi"/>
            </w:rPr>
            <w:t>PCI Requirements</w:t>
          </w:r>
          <w:r w:rsidRPr="004D3E58">
            <w:rPr>
              <w:rFonts w:cstheme="minorHAnsi"/>
            </w:rPr>
            <w:ptab w:relativeTo="margin" w:alignment="right" w:leader="dot"/>
          </w:r>
        </w:p>
        <w:p w14:paraId="69339D1C" w14:textId="57600AA3" w:rsidR="007D3B9A" w:rsidRPr="004D3E58" w:rsidRDefault="007D3B9A" w:rsidP="007D3B9A">
          <w:pPr>
            <w:pStyle w:val="TOC2"/>
            <w:ind w:left="216"/>
            <w:rPr>
              <w:rFonts w:cstheme="minorHAnsi"/>
            </w:rPr>
          </w:pPr>
          <w:r w:rsidRPr="004D3E58">
            <w:rPr>
              <w:rFonts w:cstheme="minorHAnsi"/>
            </w:rPr>
            <w:t>Data Requirements</w:t>
          </w:r>
          <w:r w:rsidRPr="004D3E58">
            <w:rPr>
              <w:rFonts w:cstheme="minorHAnsi"/>
            </w:rPr>
            <w:ptab w:relativeTo="margin" w:alignment="right" w:leader="dot"/>
          </w:r>
        </w:p>
        <w:p w14:paraId="7C1F1C80" w14:textId="000D3939" w:rsidR="007D3B9A" w:rsidRDefault="007D3B9A" w:rsidP="007D3B9A">
          <w:pPr>
            <w:pStyle w:val="TOC2"/>
            <w:ind w:left="216"/>
            <w:rPr>
              <w:rFonts w:cstheme="minorHAnsi"/>
            </w:rPr>
          </w:pPr>
          <w:r w:rsidRPr="004D3E58">
            <w:rPr>
              <w:rFonts w:cstheme="minorHAnsi"/>
            </w:rPr>
            <w:t>Data Import Recommendations</w:t>
          </w:r>
          <w:r w:rsidRPr="004D3E58">
            <w:rPr>
              <w:rFonts w:cstheme="minorHAnsi"/>
            </w:rPr>
            <w:ptab w:relativeTo="margin" w:alignment="right" w:leader="dot"/>
          </w:r>
        </w:p>
        <w:p w14:paraId="6B70D205" w14:textId="38C2D51E" w:rsidR="0019141C" w:rsidRDefault="0019141C" w:rsidP="0019141C">
          <w:pPr>
            <w:pStyle w:val="TOC2"/>
            <w:ind w:left="216"/>
            <w:rPr>
              <w:rFonts w:cstheme="minorHAnsi"/>
            </w:rPr>
          </w:pPr>
          <w:r>
            <w:rPr>
              <w:rFonts w:cstheme="minorHAnsi"/>
            </w:rPr>
            <w:t>Customer Requirements</w:t>
          </w:r>
          <w:r w:rsidRPr="004D3E58">
            <w:rPr>
              <w:rFonts w:cstheme="minorHAnsi"/>
            </w:rPr>
            <w:ptab w:relativeTo="margin" w:alignment="right" w:leader="dot"/>
          </w:r>
        </w:p>
        <w:p w14:paraId="52DDC614" w14:textId="70B6FDA0" w:rsidR="0019141C" w:rsidRPr="004D3E58" w:rsidRDefault="0019141C" w:rsidP="0019141C">
          <w:pPr>
            <w:pStyle w:val="TOC2"/>
            <w:ind w:left="216"/>
            <w:rPr>
              <w:rFonts w:cstheme="minorHAnsi"/>
            </w:rPr>
          </w:pPr>
          <w:r>
            <w:rPr>
              <w:rFonts w:cstheme="minorHAnsi"/>
            </w:rPr>
            <w:t>Data Import Assessment Review</w:t>
          </w:r>
          <w:r w:rsidRPr="004D3E58">
            <w:rPr>
              <w:rFonts w:cstheme="minorHAnsi"/>
            </w:rPr>
            <w:ptab w:relativeTo="margin" w:alignment="right" w:leader="dot"/>
          </w:r>
        </w:p>
        <w:p w14:paraId="034D521F" w14:textId="77777777" w:rsidR="0019141C" w:rsidRDefault="0019141C" w:rsidP="0019141C">
          <w:pPr>
            <w:pStyle w:val="TOC1"/>
          </w:pPr>
        </w:p>
        <w:p w14:paraId="4A8110AD" w14:textId="0265D862" w:rsidR="007D3B9A" w:rsidRPr="004D3E58" w:rsidRDefault="0019141C" w:rsidP="0019141C">
          <w:pPr>
            <w:pStyle w:val="TOC1"/>
          </w:pPr>
          <w:r>
            <w:t xml:space="preserve">General </w:t>
          </w:r>
          <w:r w:rsidR="007D3B9A" w:rsidRPr="004D3E58">
            <w:t>Scope of Work</w:t>
          </w:r>
          <w:r w:rsidR="007D3B9A" w:rsidRPr="004D3E58">
            <w:ptab w:relativeTo="margin" w:alignment="right" w:leader="dot"/>
          </w:r>
          <w:r w:rsidR="000E1B84">
            <w:t>5</w:t>
          </w:r>
        </w:p>
        <w:p w14:paraId="54699FD4" w14:textId="7BEB6780" w:rsidR="007D3B9A" w:rsidRPr="004D3E58" w:rsidRDefault="0019141C" w:rsidP="007D3B9A">
          <w:pPr>
            <w:pStyle w:val="TOC2"/>
            <w:ind w:left="216"/>
            <w:rPr>
              <w:rFonts w:cstheme="minorHAnsi"/>
            </w:rPr>
          </w:pPr>
          <w:r>
            <w:rPr>
              <w:rFonts w:cstheme="minorHAnsi"/>
            </w:rPr>
            <w:t>Data Import Lifecycle</w:t>
          </w:r>
          <w:r w:rsidR="007D3B9A" w:rsidRPr="004D3E58">
            <w:rPr>
              <w:rFonts w:cstheme="minorHAnsi"/>
            </w:rPr>
            <w:ptab w:relativeTo="margin" w:alignment="right" w:leader="dot"/>
          </w:r>
        </w:p>
        <w:p w14:paraId="73255FD4" w14:textId="7A18D46D" w:rsidR="007D3B9A" w:rsidRPr="004D3E58" w:rsidRDefault="007D3B9A" w:rsidP="007D3B9A">
          <w:pPr>
            <w:pStyle w:val="TOC2"/>
            <w:ind w:left="216"/>
            <w:rPr>
              <w:rFonts w:cstheme="minorHAnsi"/>
            </w:rPr>
          </w:pPr>
          <w:r w:rsidRPr="004D3E58">
            <w:rPr>
              <w:rFonts w:cstheme="minorHAnsi"/>
            </w:rPr>
            <w:t>Data</w:t>
          </w:r>
          <w:r w:rsidR="0019141C">
            <w:rPr>
              <w:rFonts w:cstheme="minorHAnsi"/>
            </w:rPr>
            <w:t xml:space="preserve"> Massaging, Import &amp; Tokenization Fees</w:t>
          </w:r>
          <w:r w:rsidRPr="004D3E58">
            <w:rPr>
              <w:rFonts w:cstheme="minorHAnsi"/>
            </w:rPr>
            <w:ptab w:relativeTo="margin" w:alignment="right" w:leader="dot"/>
          </w:r>
        </w:p>
        <w:p w14:paraId="611E434E" w14:textId="77777777" w:rsidR="0019141C" w:rsidRDefault="0019141C" w:rsidP="0019141C">
          <w:pPr>
            <w:pStyle w:val="TOC1"/>
          </w:pPr>
        </w:p>
        <w:p w14:paraId="617CE9F8" w14:textId="3E2C2B10" w:rsidR="0019141C" w:rsidRPr="0019141C" w:rsidRDefault="0019141C" w:rsidP="0019141C">
          <w:pPr>
            <w:pStyle w:val="TOC1"/>
          </w:pPr>
          <w:r w:rsidRPr="0019141C">
            <w:t>Additional Information</w:t>
          </w:r>
          <w:r w:rsidRPr="0019141C">
            <w:ptab w:relativeTo="margin" w:alignment="right" w:leader="dot"/>
          </w:r>
          <w:r w:rsidR="000E1B84">
            <w:t>6</w:t>
          </w:r>
        </w:p>
        <w:p w14:paraId="1028B4DA" w14:textId="2E42A361" w:rsidR="0019141C" w:rsidRPr="004D3E58" w:rsidRDefault="0019141C" w:rsidP="0019141C">
          <w:pPr>
            <w:pStyle w:val="TOC2"/>
            <w:ind w:left="216"/>
            <w:rPr>
              <w:rFonts w:cstheme="minorHAnsi"/>
            </w:rPr>
          </w:pPr>
          <w:r>
            <w:rPr>
              <w:rFonts w:cstheme="minorHAnsi"/>
            </w:rPr>
            <w:t>Special Considerations</w:t>
          </w:r>
          <w:r w:rsidRPr="004D3E58">
            <w:rPr>
              <w:rFonts w:cstheme="minorHAnsi"/>
            </w:rPr>
            <w:ptab w:relativeTo="margin" w:alignment="right" w:leader="dot"/>
          </w:r>
        </w:p>
        <w:p w14:paraId="04AEB5F0" w14:textId="4D8298BA" w:rsidR="0019141C" w:rsidRPr="004D3E58" w:rsidRDefault="0019141C" w:rsidP="0019141C">
          <w:pPr>
            <w:pStyle w:val="TOC2"/>
            <w:ind w:left="216"/>
            <w:rPr>
              <w:rFonts w:cstheme="minorHAnsi"/>
            </w:rPr>
          </w:pPr>
          <w:r>
            <w:rPr>
              <w:rFonts w:cstheme="minorHAnsi"/>
            </w:rPr>
            <w:t>Contact Information</w:t>
          </w:r>
          <w:r w:rsidRPr="004D3E58">
            <w:rPr>
              <w:rFonts w:cstheme="minorHAnsi"/>
            </w:rPr>
            <w:ptab w:relativeTo="margin" w:alignment="right" w:leader="dot"/>
          </w:r>
        </w:p>
        <w:p w14:paraId="7BDA43B8" w14:textId="29230063" w:rsidR="007D3B9A" w:rsidRPr="0019141C" w:rsidRDefault="00000000" w:rsidP="0019141C"/>
      </w:sdtContent>
    </w:sdt>
    <w:p w14:paraId="7F64E5D9" w14:textId="45A2206A" w:rsidR="007D3B9A" w:rsidRDefault="007D3B9A" w:rsidP="007D3B9A">
      <w:pPr>
        <w:jc w:val="center"/>
        <w:rPr>
          <w:rFonts w:cstheme="minorHAnsi"/>
          <w:b/>
          <w:bCs/>
          <w:u w:val="single"/>
        </w:rPr>
      </w:pPr>
    </w:p>
    <w:p w14:paraId="77C26DCD" w14:textId="78FB55DE" w:rsidR="00144903" w:rsidRDefault="00144903" w:rsidP="007D3B9A">
      <w:pPr>
        <w:jc w:val="center"/>
        <w:rPr>
          <w:rFonts w:cstheme="minorHAnsi"/>
          <w:b/>
          <w:bCs/>
          <w:u w:val="single"/>
        </w:rPr>
      </w:pPr>
    </w:p>
    <w:p w14:paraId="5D1A245A" w14:textId="4EF17087" w:rsidR="00144903" w:rsidRDefault="00144903" w:rsidP="007D3B9A">
      <w:pPr>
        <w:jc w:val="center"/>
        <w:rPr>
          <w:rFonts w:cstheme="minorHAnsi"/>
          <w:b/>
          <w:bCs/>
          <w:u w:val="single"/>
        </w:rPr>
      </w:pPr>
    </w:p>
    <w:p w14:paraId="1F76D119" w14:textId="2C406EB2" w:rsidR="00144903" w:rsidRDefault="00144903" w:rsidP="007D3B9A">
      <w:pPr>
        <w:jc w:val="center"/>
        <w:rPr>
          <w:rFonts w:cstheme="minorHAnsi"/>
          <w:b/>
          <w:bCs/>
          <w:u w:val="single"/>
        </w:rPr>
      </w:pPr>
    </w:p>
    <w:p w14:paraId="3EE3687F" w14:textId="5BE8A684" w:rsidR="00144903" w:rsidRDefault="00144903" w:rsidP="007D3B9A">
      <w:pPr>
        <w:jc w:val="center"/>
        <w:rPr>
          <w:rFonts w:cstheme="minorHAnsi"/>
          <w:b/>
          <w:bCs/>
          <w:u w:val="single"/>
        </w:rPr>
      </w:pPr>
    </w:p>
    <w:p w14:paraId="074908F9" w14:textId="77777777" w:rsidR="00132C1E" w:rsidRDefault="00132C1E" w:rsidP="007D3B9A">
      <w:pPr>
        <w:jc w:val="center"/>
        <w:rPr>
          <w:rFonts w:cstheme="minorHAnsi"/>
          <w:b/>
          <w:bCs/>
          <w:u w:val="single"/>
        </w:rPr>
      </w:pPr>
    </w:p>
    <w:p w14:paraId="0F2B1A5B" w14:textId="039ECBFC" w:rsidR="00144903" w:rsidRDefault="00144903" w:rsidP="007D3B9A">
      <w:pPr>
        <w:jc w:val="center"/>
        <w:rPr>
          <w:rFonts w:cstheme="minorHAnsi"/>
          <w:b/>
          <w:bCs/>
          <w:u w:val="single"/>
        </w:rPr>
      </w:pPr>
    </w:p>
    <w:p w14:paraId="7E043B7D" w14:textId="036B2C6A" w:rsidR="00144903" w:rsidRDefault="00144903" w:rsidP="007D3B9A">
      <w:pPr>
        <w:jc w:val="center"/>
        <w:rPr>
          <w:rFonts w:cstheme="minorHAnsi"/>
          <w:b/>
          <w:bCs/>
          <w:u w:val="single"/>
        </w:rPr>
      </w:pPr>
    </w:p>
    <w:p w14:paraId="419397AE" w14:textId="562EB864" w:rsidR="00144903" w:rsidRDefault="00144903" w:rsidP="007D3B9A">
      <w:pPr>
        <w:jc w:val="center"/>
        <w:rPr>
          <w:rFonts w:cstheme="minorHAnsi"/>
          <w:b/>
          <w:bCs/>
          <w:u w:val="single"/>
        </w:rPr>
      </w:pPr>
    </w:p>
    <w:p w14:paraId="5964A76C" w14:textId="0577C4F0" w:rsidR="00144903" w:rsidRDefault="00144903" w:rsidP="007D3B9A">
      <w:pPr>
        <w:jc w:val="center"/>
        <w:rPr>
          <w:rFonts w:cstheme="minorHAnsi"/>
          <w:b/>
          <w:bCs/>
          <w:u w:val="single"/>
        </w:rPr>
      </w:pPr>
    </w:p>
    <w:p w14:paraId="5CD2A759" w14:textId="63A6C82E" w:rsidR="007D3B9A" w:rsidRPr="004D3E58" w:rsidRDefault="007D3B9A" w:rsidP="007D3B9A">
      <w:pPr>
        <w:jc w:val="center"/>
        <w:rPr>
          <w:rFonts w:cstheme="minorHAnsi"/>
          <w:b/>
          <w:bCs/>
          <w:sz w:val="24"/>
          <w:szCs w:val="24"/>
          <w:u w:val="single"/>
        </w:rPr>
      </w:pPr>
      <w:r w:rsidRPr="004D3E58">
        <w:rPr>
          <w:rFonts w:cstheme="minorHAnsi"/>
          <w:b/>
          <w:bCs/>
          <w:sz w:val="24"/>
          <w:szCs w:val="24"/>
          <w:u w:val="single"/>
        </w:rPr>
        <w:lastRenderedPageBreak/>
        <w:t>Statement of Work</w:t>
      </w:r>
      <w:r w:rsidR="00144903">
        <w:rPr>
          <w:rFonts w:cstheme="minorHAnsi"/>
          <w:b/>
          <w:bCs/>
          <w:sz w:val="24"/>
          <w:szCs w:val="24"/>
          <w:u w:val="single"/>
        </w:rPr>
        <w:t xml:space="preserve"> Overview</w:t>
      </w:r>
    </w:p>
    <w:p w14:paraId="186AE25E" w14:textId="6EDC29BD" w:rsidR="007D3B9A" w:rsidRPr="004D3E58" w:rsidRDefault="007D3B9A" w:rsidP="007D3B9A">
      <w:pPr>
        <w:jc w:val="both"/>
        <w:rPr>
          <w:rFonts w:cstheme="minorHAnsi"/>
        </w:rPr>
      </w:pPr>
      <w:r w:rsidRPr="004D3E58">
        <w:rPr>
          <w:rFonts w:cstheme="minorHAnsi"/>
        </w:rPr>
        <w:t xml:space="preserve">Forte’s Integration team is responsible for executing deliverables related to the client data import process, which is includes data </w:t>
      </w:r>
      <w:r>
        <w:rPr>
          <w:rFonts w:cstheme="minorHAnsi"/>
        </w:rPr>
        <w:t>massaging</w:t>
      </w:r>
      <w:r w:rsidRPr="004D3E58">
        <w:rPr>
          <w:rFonts w:cstheme="minorHAnsi"/>
        </w:rPr>
        <w:t xml:space="preserve">, </w:t>
      </w:r>
      <w:r w:rsidR="00A22E8F">
        <w:rPr>
          <w:rFonts w:cstheme="minorHAnsi"/>
        </w:rPr>
        <w:t xml:space="preserve">importing </w:t>
      </w:r>
      <w:r w:rsidR="00144903">
        <w:rPr>
          <w:rFonts w:cstheme="minorHAnsi"/>
        </w:rPr>
        <w:t>data</w:t>
      </w:r>
      <w:r w:rsidR="00A22E8F">
        <w:rPr>
          <w:rFonts w:cstheme="minorHAnsi"/>
        </w:rPr>
        <w:t xml:space="preserve"> into applicable Forte platforms</w:t>
      </w:r>
      <w:r w:rsidR="00144903">
        <w:rPr>
          <w:rFonts w:cstheme="minorHAnsi"/>
        </w:rPr>
        <w:t xml:space="preserve"> and </w:t>
      </w:r>
      <w:r w:rsidR="00A22E8F">
        <w:rPr>
          <w:rFonts w:cstheme="minorHAnsi"/>
        </w:rPr>
        <w:t>tokenizing payment data as well as customer data if requested.</w:t>
      </w:r>
      <w:r w:rsidRPr="004D3E58">
        <w:rPr>
          <w:rFonts w:cstheme="minorHAnsi"/>
        </w:rPr>
        <w:t xml:space="preserve"> Please review the following information related to </w:t>
      </w:r>
      <w:r w:rsidR="005020ED">
        <w:rPr>
          <w:rFonts w:cstheme="minorHAnsi"/>
        </w:rPr>
        <w:t>import</w:t>
      </w:r>
      <w:r w:rsidRPr="004D3E58">
        <w:rPr>
          <w:rFonts w:cstheme="minorHAnsi"/>
        </w:rPr>
        <w:t xml:space="preserve"> requirements, Forte’s scope of work and the associated fees to complete each import.</w:t>
      </w:r>
    </w:p>
    <w:p w14:paraId="577AEC3D" w14:textId="1E98E646" w:rsidR="007D3B9A" w:rsidRPr="004D3E58" w:rsidRDefault="007D3B9A" w:rsidP="007D3B9A">
      <w:pPr>
        <w:rPr>
          <w:rFonts w:cstheme="minorHAnsi"/>
          <w:b/>
          <w:bCs/>
          <w:u w:val="single"/>
        </w:rPr>
      </w:pPr>
      <w:r w:rsidRPr="004D3E58">
        <w:rPr>
          <w:rFonts w:cstheme="minorHAnsi"/>
          <w:b/>
          <w:bCs/>
          <w:u w:val="single"/>
        </w:rPr>
        <w:t xml:space="preserve">Import Consultation </w:t>
      </w:r>
      <w:r w:rsidR="001F386F" w:rsidRPr="004D3E58">
        <w:rPr>
          <w:rFonts w:cstheme="minorHAnsi"/>
          <w:b/>
          <w:bCs/>
          <w:u w:val="single"/>
        </w:rPr>
        <w:t xml:space="preserve"> </w:t>
      </w:r>
    </w:p>
    <w:p w14:paraId="21C5D3ED" w14:textId="101EB32F" w:rsidR="007D3B9A" w:rsidRPr="004D3E58" w:rsidRDefault="007D3B9A" w:rsidP="007D3B9A">
      <w:pPr>
        <w:jc w:val="both"/>
        <w:rPr>
          <w:rFonts w:cstheme="minorHAnsi"/>
        </w:rPr>
      </w:pPr>
      <w:r w:rsidRPr="00BE32B1">
        <w:rPr>
          <w:rFonts w:cstheme="minorHAnsi"/>
        </w:rPr>
        <w:t>Forte requires an initial consultation call with an Integration specialist to capture details related to the scope of the import</w:t>
      </w:r>
      <w:r w:rsidR="00144903" w:rsidRPr="00BE32B1">
        <w:rPr>
          <w:rFonts w:cstheme="minorHAnsi"/>
        </w:rPr>
        <w:t>. All Data</w:t>
      </w:r>
      <w:r w:rsidRPr="00BE32B1">
        <w:rPr>
          <w:rFonts w:cstheme="minorHAnsi"/>
        </w:rPr>
        <w:t xml:space="preserve"> Import consultation request should be sent to </w:t>
      </w:r>
      <w:hyperlink r:id="rId8" w:history="1">
        <w:r w:rsidR="001F386F" w:rsidRPr="00BE32B1">
          <w:rPr>
            <w:rStyle w:val="Hyperlink"/>
            <w:rFonts w:cstheme="minorHAnsi"/>
          </w:rPr>
          <w:t>integration@forte.net</w:t>
        </w:r>
      </w:hyperlink>
      <w:hyperlink r:id="rId9" w:history="1"/>
      <w:r w:rsidRPr="00BE32B1">
        <w:rPr>
          <w:rFonts w:cstheme="minorHAnsi"/>
        </w:rPr>
        <w:t>. Request</w:t>
      </w:r>
      <w:r w:rsidR="00144903" w:rsidRPr="00BE32B1">
        <w:rPr>
          <w:rFonts w:cstheme="minorHAnsi"/>
        </w:rPr>
        <w:t>s</w:t>
      </w:r>
      <w:r w:rsidRPr="00BE32B1">
        <w:rPr>
          <w:rFonts w:cstheme="minorHAnsi"/>
        </w:rPr>
        <w:t xml:space="preserve"> received after </w:t>
      </w:r>
      <w:r w:rsidR="001F386F" w:rsidRPr="00BE32B1">
        <w:rPr>
          <w:rFonts w:cstheme="minorHAnsi"/>
        </w:rPr>
        <w:t>2</w:t>
      </w:r>
      <w:r w:rsidRPr="00BE32B1">
        <w:rPr>
          <w:rFonts w:cstheme="minorHAnsi"/>
        </w:rPr>
        <w:t>PM C</w:t>
      </w:r>
      <w:r w:rsidR="00BE32B1" w:rsidRPr="00BE32B1">
        <w:rPr>
          <w:rFonts w:cstheme="minorHAnsi"/>
        </w:rPr>
        <w:t>D</w:t>
      </w:r>
      <w:r w:rsidRPr="00BE32B1">
        <w:rPr>
          <w:rFonts w:cstheme="minorHAnsi"/>
        </w:rPr>
        <w:t>T will be responded to by the next business day. An Integration Specialist will contact the customer via email to schedule time to discuss the import. We recommend that the customer is prepared to discuss the following:</w:t>
      </w:r>
    </w:p>
    <w:p w14:paraId="3D5FF6ED" w14:textId="77777777" w:rsidR="007D3B9A" w:rsidRPr="004D3E58" w:rsidRDefault="007D3B9A" w:rsidP="007D3B9A">
      <w:pPr>
        <w:rPr>
          <w:rFonts w:cstheme="minorHAnsi"/>
          <w:b/>
          <w:bCs/>
        </w:rPr>
      </w:pPr>
      <w:r>
        <w:rPr>
          <w:rFonts w:cstheme="minorHAnsi"/>
          <w:b/>
          <w:bCs/>
        </w:rPr>
        <w:t>Import Details</w:t>
      </w:r>
    </w:p>
    <w:p w14:paraId="2590B50C" w14:textId="77777777" w:rsidR="007D3B9A" w:rsidRPr="004D3E58" w:rsidRDefault="007D3B9A" w:rsidP="007D3B9A">
      <w:pPr>
        <w:pStyle w:val="ListParagraph"/>
        <w:numPr>
          <w:ilvl w:val="0"/>
          <w:numId w:val="4"/>
        </w:numPr>
        <w:rPr>
          <w:rFonts w:cstheme="minorHAnsi"/>
        </w:rPr>
      </w:pPr>
      <w:r w:rsidRPr="004D3E58">
        <w:rPr>
          <w:rFonts w:cstheme="minorHAnsi"/>
        </w:rPr>
        <w:t>Estimated volume of records</w:t>
      </w:r>
    </w:p>
    <w:p w14:paraId="3B7E43C2" w14:textId="77777777" w:rsidR="007D3B9A" w:rsidRPr="004D3E58" w:rsidRDefault="007D3B9A" w:rsidP="007D3B9A">
      <w:pPr>
        <w:pStyle w:val="ListParagraph"/>
        <w:numPr>
          <w:ilvl w:val="0"/>
          <w:numId w:val="4"/>
        </w:numPr>
        <w:rPr>
          <w:rFonts w:cstheme="minorHAnsi"/>
        </w:rPr>
      </w:pPr>
      <w:r w:rsidRPr="004D3E58">
        <w:rPr>
          <w:rFonts w:cstheme="minorHAnsi"/>
        </w:rPr>
        <w:t>Timeline for completion (may need to be modified if request does not allow enough time for import process to be completed)</w:t>
      </w:r>
    </w:p>
    <w:p w14:paraId="75FA3E5E" w14:textId="77777777" w:rsidR="007D3B9A" w:rsidRPr="004D3E58" w:rsidRDefault="007D3B9A" w:rsidP="007D3B9A">
      <w:pPr>
        <w:pStyle w:val="ListParagraph"/>
        <w:numPr>
          <w:ilvl w:val="0"/>
          <w:numId w:val="4"/>
        </w:numPr>
        <w:rPr>
          <w:rFonts w:cstheme="minorHAnsi"/>
        </w:rPr>
      </w:pPr>
      <w:r w:rsidRPr="004D3E58">
        <w:rPr>
          <w:rFonts w:cstheme="minorHAnsi"/>
        </w:rPr>
        <w:t>Provide business/technical point of contact for Integration</w:t>
      </w:r>
    </w:p>
    <w:p w14:paraId="1C3794A3" w14:textId="77777777" w:rsidR="007D3B9A" w:rsidRPr="004D3E58" w:rsidRDefault="007D3B9A" w:rsidP="007D3B9A">
      <w:pPr>
        <w:pStyle w:val="ListParagraph"/>
        <w:numPr>
          <w:ilvl w:val="0"/>
          <w:numId w:val="4"/>
        </w:numPr>
        <w:rPr>
          <w:rFonts w:cstheme="minorHAnsi"/>
        </w:rPr>
      </w:pPr>
      <w:r w:rsidRPr="004D3E58">
        <w:rPr>
          <w:rFonts w:cstheme="minorHAnsi"/>
        </w:rPr>
        <w:t>Confirm PCI compliant 3</w:t>
      </w:r>
      <w:r w:rsidRPr="004D3E58">
        <w:rPr>
          <w:rFonts w:cstheme="minorHAnsi"/>
          <w:vertAlign w:val="superscript"/>
        </w:rPr>
        <w:t>rd</w:t>
      </w:r>
      <w:r w:rsidRPr="004D3E58">
        <w:rPr>
          <w:rFonts w:cstheme="minorHAnsi"/>
        </w:rPr>
        <w:t xml:space="preserve"> party source import data will be received from</w:t>
      </w:r>
    </w:p>
    <w:p w14:paraId="1B4DE7B1" w14:textId="77777777" w:rsidR="007D3B9A" w:rsidRPr="004D3E58" w:rsidRDefault="007D3B9A" w:rsidP="007D3B9A">
      <w:pPr>
        <w:pStyle w:val="ListParagraph"/>
        <w:numPr>
          <w:ilvl w:val="0"/>
          <w:numId w:val="4"/>
        </w:numPr>
        <w:rPr>
          <w:rFonts w:cstheme="minorHAnsi"/>
        </w:rPr>
      </w:pPr>
      <w:r w:rsidRPr="004D3E58">
        <w:rPr>
          <w:rFonts w:cstheme="minorHAnsi"/>
        </w:rPr>
        <w:t>Confirm if access to FTP server is needed</w:t>
      </w:r>
    </w:p>
    <w:p w14:paraId="16BE26CD" w14:textId="77777777" w:rsidR="007D3B9A" w:rsidRPr="004D3E58" w:rsidRDefault="007D3B9A" w:rsidP="007D3B9A">
      <w:pPr>
        <w:pStyle w:val="ListParagraph"/>
        <w:numPr>
          <w:ilvl w:val="0"/>
          <w:numId w:val="4"/>
        </w:numPr>
        <w:rPr>
          <w:rFonts w:cstheme="minorHAnsi"/>
        </w:rPr>
      </w:pPr>
      <w:r w:rsidRPr="004D3E58">
        <w:rPr>
          <w:rFonts w:cstheme="minorHAnsi"/>
        </w:rPr>
        <w:t>Provide anticipated date that data will be sent to Forte from the PCI compliant 3</w:t>
      </w:r>
      <w:r w:rsidRPr="004D3E58">
        <w:rPr>
          <w:rFonts w:cstheme="minorHAnsi"/>
          <w:vertAlign w:val="superscript"/>
        </w:rPr>
        <w:t>rd</w:t>
      </w:r>
      <w:r w:rsidRPr="004D3E58">
        <w:rPr>
          <w:rFonts w:cstheme="minorHAnsi"/>
        </w:rPr>
        <w:t xml:space="preserve"> party source</w:t>
      </w:r>
    </w:p>
    <w:p w14:paraId="17E3547A" w14:textId="77777777" w:rsidR="007D3B9A" w:rsidRPr="004D3E58" w:rsidRDefault="007D3B9A" w:rsidP="007D3B9A">
      <w:pPr>
        <w:rPr>
          <w:rFonts w:cstheme="minorHAnsi"/>
          <w:b/>
          <w:bCs/>
        </w:rPr>
      </w:pPr>
      <w:r w:rsidRPr="004D3E58">
        <w:rPr>
          <w:rFonts w:cstheme="minorHAnsi"/>
          <w:b/>
          <w:bCs/>
        </w:rPr>
        <w:t>Forte Deliverables &amp; Requirements</w:t>
      </w:r>
    </w:p>
    <w:p w14:paraId="072C832C" w14:textId="77777777" w:rsidR="007D3B9A" w:rsidRPr="004D3E58" w:rsidRDefault="007D3B9A" w:rsidP="007D3B9A">
      <w:pPr>
        <w:pStyle w:val="ListParagraph"/>
        <w:numPr>
          <w:ilvl w:val="0"/>
          <w:numId w:val="4"/>
        </w:numPr>
        <w:rPr>
          <w:rFonts w:cstheme="minorHAnsi"/>
        </w:rPr>
      </w:pPr>
      <w:r w:rsidRPr="004D3E58">
        <w:rPr>
          <w:rFonts w:cstheme="minorHAnsi"/>
        </w:rPr>
        <w:t>Overview of import process</w:t>
      </w:r>
    </w:p>
    <w:p w14:paraId="51B0E0F6" w14:textId="77777777" w:rsidR="007D3B9A" w:rsidRPr="004D3E58" w:rsidRDefault="007D3B9A" w:rsidP="007D3B9A">
      <w:pPr>
        <w:pStyle w:val="ListParagraph"/>
        <w:numPr>
          <w:ilvl w:val="0"/>
          <w:numId w:val="4"/>
        </w:numPr>
        <w:rPr>
          <w:rFonts w:cstheme="minorHAnsi"/>
        </w:rPr>
      </w:pPr>
      <w:r w:rsidRPr="004D3E58">
        <w:rPr>
          <w:rFonts w:cstheme="minorHAnsi"/>
        </w:rPr>
        <w:t>Assign Integration Specialist and customer point of contact</w:t>
      </w:r>
    </w:p>
    <w:p w14:paraId="09B31D21" w14:textId="77777777" w:rsidR="007D3B9A" w:rsidRPr="004D3E58" w:rsidRDefault="007D3B9A" w:rsidP="007D3B9A">
      <w:pPr>
        <w:pStyle w:val="ListParagraph"/>
        <w:numPr>
          <w:ilvl w:val="0"/>
          <w:numId w:val="4"/>
        </w:numPr>
        <w:rPr>
          <w:rFonts w:cstheme="minorHAnsi"/>
        </w:rPr>
      </w:pPr>
      <w:r w:rsidRPr="004D3E58">
        <w:rPr>
          <w:rFonts w:cstheme="minorHAnsi"/>
        </w:rPr>
        <w:t>Provide estimate for completion based on customer input volume estimates</w:t>
      </w:r>
    </w:p>
    <w:p w14:paraId="377133B6" w14:textId="256ADBAF" w:rsidR="007D3B9A" w:rsidRDefault="007D3B9A" w:rsidP="007D3B9A">
      <w:pPr>
        <w:pStyle w:val="ListParagraph"/>
        <w:numPr>
          <w:ilvl w:val="0"/>
          <w:numId w:val="4"/>
        </w:numPr>
        <w:rPr>
          <w:rFonts w:cstheme="minorHAnsi"/>
        </w:rPr>
      </w:pPr>
      <w:r w:rsidRPr="004D3E58">
        <w:rPr>
          <w:rFonts w:cstheme="minorHAnsi"/>
        </w:rPr>
        <w:t>Schedule future calls to discuss outcomes from data import assessment upon receipt of data from PCI compliant 3</w:t>
      </w:r>
      <w:r w:rsidRPr="004D3E58">
        <w:rPr>
          <w:rFonts w:cstheme="minorHAnsi"/>
          <w:vertAlign w:val="superscript"/>
        </w:rPr>
        <w:t>rd</w:t>
      </w:r>
      <w:r w:rsidRPr="004D3E58">
        <w:rPr>
          <w:rFonts w:cstheme="minorHAnsi"/>
        </w:rPr>
        <w:t xml:space="preserve"> Party</w:t>
      </w:r>
    </w:p>
    <w:p w14:paraId="0F7A9D52" w14:textId="5D11895D" w:rsidR="00A22E8F" w:rsidRPr="004D3E58" w:rsidRDefault="00A22E8F" w:rsidP="007D3B9A">
      <w:pPr>
        <w:pStyle w:val="ListParagraph"/>
        <w:numPr>
          <w:ilvl w:val="0"/>
          <w:numId w:val="4"/>
        </w:numPr>
        <w:rPr>
          <w:rFonts w:cstheme="minorHAnsi"/>
        </w:rPr>
      </w:pPr>
      <w:r>
        <w:rPr>
          <w:rFonts w:cstheme="minorHAnsi"/>
        </w:rPr>
        <w:t>Discuss tokenization options</w:t>
      </w:r>
    </w:p>
    <w:p w14:paraId="0CD993DA" w14:textId="23970279" w:rsidR="007D3B9A" w:rsidRDefault="007D3B9A" w:rsidP="007D3B9A">
      <w:pPr>
        <w:pStyle w:val="ListParagraph"/>
        <w:numPr>
          <w:ilvl w:val="0"/>
          <w:numId w:val="4"/>
        </w:numPr>
        <w:rPr>
          <w:rFonts w:cstheme="minorHAnsi"/>
        </w:rPr>
      </w:pPr>
      <w:r w:rsidRPr="004D3E58">
        <w:rPr>
          <w:rFonts w:cstheme="minorHAnsi"/>
        </w:rPr>
        <w:t>Review data import and customer requirements</w:t>
      </w:r>
    </w:p>
    <w:p w14:paraId="7346AA54" w14:textId="6602412A" w:rsidR="00A22E8F" w:rsidRDefault="00A22E8F" w:rsidP="007D3B9A">
      <w:pPr>
        <w:pStyle w:val="ListParagraph"/>
        <w:numPr>
          <w:ilvl w:val="0"/>
          <w:numId w:val="4"/>
        </w:numPr>
        <w:rPr>
          <w:rFonts w:cstheme="minorHAnsi"/>
        </w:rPr>
      </w:pPr>
      <w:r>
        <w:rPr>
          <w:rFonts w:cstheme="minorHAnsi"/>
        </w:rPr>
        <w:t xml:space="preserve">Email </w:t>
      </w:r>
      <w:r w:rsidR="005020ED">
        <w:rPr>
          <w:rFonts w:cstheme="minorHAnsi"/>
        </w:rPr>
        <w:t xml:space="preserve">authorized contact </w:t>
      </w:r>
      <w:r>
        <w:rPr>
          <w:rFonts w:cstheme="minorHAnsi"/>
        </w:rPr>
        <w:t>Import Authorization &amp; Release Form with Fee Estimate</w:t>
      </w:r>
    </w:p>
    <w:p w14:paraId="77E59BCA" w14:textId="34637C6C" w:rsidR="00144903" w:rsidRDefault="00144903" w:rsidP="00144903">
      <w:pPr>
        <w:pStyle w:val="ListParagraph"/>
        <w:rPr>
          <w:rFonts w:cstheme="minorHAnsi"/>
        </w:rPr>
      </w:pPr>
    </w:p>
    <w:p w14:paraId="67A8FEE4" w14:textId="594771DA" w:rsidR="00132C1E" w:rsidRDefault="00132C1E" w:rsidP="00144903">
      <w:pPr>
        <w:pStyle w:val="ListParagraph"/>
        <w:rPr>
          <w:rFonts w:cstheme="minorHAnsi"/>
        </w:rPr>
      </w:pPr>
    </w:p>
    <w:p w14:paraId="24E7B028" w14:textId="675DC0F3" w:rsidR="00132C1E" w:rsidRDefault="00132C1E" w:rsidP="00144903">
      <w:pPr>
        <w:pStyle w:val="ListParagraph"/>
        <w:rPr>
          <w:rFonts w:cstheme="minorHAnsi"/>
        </w:rPr>
      </w:pPr>
    </w:p>
    <w:p w14:paraId="12C022FD" w14:textId="700B0F49" w:rsidR="00132C1E" w:rsidRDefault="00132C1E" w:rsidP="00144903">
      <w:pPr>
        <w:pStyle w:val="ListParagraph"/>
        <w:rPr>
          <w:rFonts w:cstheme="minorHAnsi"/>
        </w:rPr>
      </w:pPr>
    </w:p>
    <w:p w14:paraId="73565961" w14:textId="52AFD3CD" w:rsidR="00132C1E" w:rsidRDefault="00132C1E" w:rsidP="00144903">
      <w:pPr>
        <w:pStyle w:val="ListParagraph"/>
        <w:rPr>
          <w:rFonts w:cstheme="minorHAnsi"/>
        </w:rPr>
      </w:pPr>
    </w:p>
    <w:p w14:paraId="3E5D392A" w14:textId="1966C3FF" w:rsidR="00132C1E" w:rsidRDefault="00132C1E" w:rsidP="00144903">
      <w:pPr>
        <w:pStyle w:val="ListParagraph"/>
        <w:rPr>
          <w:rFonts w:cstheme="minorHAnsi"/>
        </w:rPr>
      </w:pPr>
    </w:p>
    <w:p w14:paraId="1679C8E8" w14:textId="591D39C2" w:rsidR="00132C1E" w:rsidRDefault="00132C1E" w:rsidP="00144903">
      <w:pPr>
        <w:pStyle w:val="ListParagraph"/>
        <w:rPr>
          <w:rFonts w:cstheme="minorHAnsi"/>
        </w:rPr>
      </w:pPr>
    </w:p>
    <w:p w14:paraId="513D9A46" w14:textId="43543E41" w:rsidR="00132C1E" w:rsidRDefault="00132C1E" w:rsidP="00144903">
      <w:pPr>
        <w:pStyle w:val="ListParagraph"/>
        <w:rPr>
          <w:rFonts w:cstheme="minorHAnsi"/>
        </w:rPr>
      </w:pPr>
    </w:p>
    <w:p w14:paraId="11E520C1" w14:textId="7B192D84" w:rsidR="00132C1E" w:rsidRDefault="00132C1E" w:rsidP="00144903">
      <w:pPr>
        <w:pStyle w:val="ListParagraph"/>
        <w:rPr>
          <w:rFonts w:cstheme="minorHAnsi"/>
        </w:rPr>
      </w:pPr>
    </w:p>
    <w:p w14:paraId="0FF42A4D" w14:textId="77777777" w:rsidR="000140CF" w:rsidRDefault="000140CF" w:rsidP="00144903">
      <w:pPr>
        <w:pStyle w:val="ListParagraph"/>
        <w:rPr>
          <w:rFonts w:cstheme="minorHAnsi"/>
        </w:rPr>
      </w:pPr>
    </w:p>
    <w:p w14:paraId="3B1D8424" w14:textId="77777777" w:rsidR="00132C1E" w:rsidRPr="004D3E58" w:rsidRDefault="00132C1E" w:rsidP="00144903">
      <w:pPr>
        <w:pStyle w:val="ListParagraph"/>
        <w:rPr>
          <w:rFonts w:cstheme="minorHAnsi"/>
        </w:rPr>
      </w:pPr>
    </w:p>
    <w:p w14:paraId="1209D7A8" w14:textId="77777777" w:rsidR="007D3B9A" w:rsidRPr="004D3E58" w:rsidRDefault="007D3B9A" w:rsidP="007D3B9A">
      <w:pPr>
        <w:jc w:val="center"/>
        <w:rPr>
          <w:rFonts w:cstheme="minorHAnsi"/>
          <w:b/>
          <w:bCs/>
          <w:u w:val="single"/>
        </w:rPr>
      </w:pPr>
      <w:r w:rsidRPr="004D3E58">
        <w:rPr>
          <w:rFonts w:cstheme="minorHAnsi"/>
          <w:b/>
          <w:bCs/>
          <w:u w:val="single"/>
        </w:rPr>
        <w:lastRenderedPageBreak/>
        <w:t>Data Import Requirements &amp; Recommendations</w:t>
      </w:r>
    </w:p>
    <w:p w14:paraId="1EA30A1F" w14:textId="77777777" w:rsidR="007D3B9A" w:rsidRPr="004D3E58" w:rsidRDefault="007D3B9A" w:rsidP="007D3B9A">
      <w:pPr>
        <w:rPr>
          <w:rFonts w:cstheme="minorHAnsi"/>
          <w:b/>
          <w:bCs/>
        </w:rPr>
      </w:pPr>
      <w:r w:rsidRPr="004D3E58">
        <w:rPr>
          <w:rFonts w:cstheme="minorHAnsi"/>
          <w:b/>
          <w:bCs/>
        </w:rPr>
        <w:t>PCI Requirements</w:t>
      </w:r>
    </w:p>
    <w:p w14:paraId="6FC802AD" w14:textId="77777777" w:rsidR="007D3B9A" w:rsidRPr="004D3E58" w:rsidRDefault="007D3B9A" w:rsidP="007D3B9A">
      <w:pPr>
        <w:pStyle w:val="ListParagraph"/>
        <w:numPr>
          <w:ilvl w:val="0"/>
          <w:numId w:val="3"/>
        </w:numPr>
        <w:jc w:val="both"/>
        <w:rPr>
          <w:rFonts w:cstheme="minorHAnsi"/>
        </w:rPr>
      </w:pPr>
      <w:r w:rsidRPr="004D3E58">
        <w:rPr>
          <w:rFonts w:cstheme="minorHAnsi"/>
        </w:rPr>
        <w:t xml:space="preserve">All data files must be encrypted with Forte PGP public key in accordance with PCI requirements. Forte’s third-party file transfer public key can be accessed </w:t>
      </w:r>
      <w:hyperlink r:id="rId10" w:history="1">
        <w:r w:rsidRPr="004D3E58">
          <w:rPr>
            <w:rStyle w:val="Hyperlink"/>
            <w:rFonts w:cstheme="minorHAnsi"/>
          </w:rPr>
          <w:t>here</w:t>
        </w:r>
      </w:hyperlink>
      <w:r w:rsidRPr="004D3E58">
        <w:rPr>
          <w:rFonts w:cstheme="minorHAnsi"/>
        </w:rPr>
        <w:t xml:space="preserve">. </w:t>
      </w:r>
    </w:p>
    <w:p w14:paraId="671BA89F" w14:textId="04CFA974" w:rsidR="007D3B9A" w:rsidRDefault="007D3B9A" w:rsidP="007D3B9A">
      <w:pPr>
        <w:pStyle w:val="ListParagraph"/>
        <w:numPr>
          <w:ilvl w:val="0"/>
          <w:numId w:val="3"/>
        </w:numPr>
        <w:jc w:val="both"/>
        <w:rPr>
          <w:rFonts w:cstheme="minorHAnsi"/>
        </w:rPr>
      </w:pPr>
      <w:r w:rsidRPr="004D3E58">
        <w:rPr>
          <w:rFonts w:cstheme="minorHAnsi"/>
        </w:rPr>
        <w:t>Data must be transferred from a PCI compliant third party which will be validated via the Visa PCI DSS or PA DSS</w:t>
      </w:r>
    </w:p>
    <w:p w14:paraId="2B20CCAE" w14:textId="77777777" w:rsidR="007D3B9A" w:rsidRPr="004D3E58" w:rsidRDefault="007D3B9A" w:rsidP="007D3B9A">
      <w:pPr>
        <w:rPr>
          <w:rFonts w:cstheme="minorHAnsi"/>
          <w:b/>
          <w:bCs/>
        </w:rPr>
      </w:pPr>
      <w:r w:rsidRPr="004D3E58">
        <w:rPr>
          <w:rFonts w:cstheme="minorHAnsi"/>
          <w:b/>
          <w:bCs/>
        </w:rPr>
        <w:t>Data Requirements</w:t>
      </w:r>
    </w:p>
    <w:p w14:paraId="2458FEC9" w14:textId="77777777" w:rsidR="007D3B9A" w:rsidRPr="004D3E58" w:rsidRDefault="007D3B9A" w:rsidP="007D3B9A">
      <w:pPr>
        <w:pStyle w:val="ListParagraph"/>
        <w:numPr>
          <w:ilvl w:val="0"/>
          <w:numId w:val="1"/>
        </w:numPr>
        <w:rPr>
          <w:rFonts w:cstheme="minorHAnsi"/>
        </w:rPr>
      </w:pPr>
      <w:r w:rsidRPr="004D3E58">
        <w:rPr>
          <w:rFonts w:cstheme="minorHAnsi"/>
        </w:rPr>
        <w:t xml:space="preserve">Format should be comma delimited or pipe delimited if commas must be used inside of data fields </w:t>
      </w:r>
    </w:p>
    <w:p w14:paraId="05333B1E" w14:textId="77777777" w:rsidR="007D3B9A" w:rsidRPr="004D3E58" w:rsidRDefault="007D3B9A" w:rsidP="007D3B9A">
      <w:pPr>
        <w:pStyle w:val="ListParagraph"/>
        <w:numPr>
          <w:ilvl w:val="1"/>
          <w:numId w:val="1"/>
        </w:numPr>
        <w:jc w:val="both"/>
        <w:rPr>
          <w:rFonts w:cstheme="minorHAnsi"/>
        </w:rPr>
      </w:pPr>
      <w:r w:rsidRPr="004D3E58">
        <w:rPr>
          <w:rFonts w:cstheme="minorHAnsi"/>
        </w:rPr>
        <w:t>If the format is comma delimited no other commas can be inside of data fields. Additional commas will cause program to assume new fields and cause error (Ex. Company Name: XYZ, Inc).</w:t>
      </w:r>
    </w:p>
    <w:p w14:paraId="196F9610" w14:textId="77777777" w:rsidR="007D3B9A" w:rsidRPr="004D3E58" w:rsidRDefault="007D3B9A" w:rsidP="007D3B9A">
      <w:pPr>
        <w:pStyle w:val="ListParagraph"/>
        <w:numPr>
          <w:ilvl w:val="0"/>
          <w:numId w:val="1"/>
        </w:numPr>
        <w:rPr>
          <w:rFonts w:cstheme="minorHAnsi"/>
        </w:rPr>
      </w:pPr>
      <w:r w:rsidRPr="004D3E58">
        <w:rPr>
          <w:rFonts w:cstheme="minorHAnsi"/>
        </w:rPr>
        <w:t>Credit card expiration date proper format: YYYY/MM</w:t>
      </w:r>
    </w:p>
    <w:p w14:paraId="68DCA513" w14:textId="77777777" w:rsidR="007D3B9A" w:rsidRPr="004D3E58" w:rsidRDefault="007D3B9A" w:rsidP="007D3B9A">
      <w:pPr>
        <w:pStyle w:val="ListParagraph"/>
        <w:numPr>
          <w:ilvl w:val="0"/>
          <w:numId w:val="1"/>
        </w:numPr>
        <w:rPr>
          <w:rFonts w:cstheme="minorHAnsi"/>
        </w:rPr>
      </w:pPr>
      <w:r w:rsidRPr="004D3E58">
        <w:rPr>
          <w:rFonts w:cstheme="minorHAnsi"/>
        </w:rPr>
        <w:t xml:space="preserve">Credit card date cannot be expired. </w:t>
      </w:r>
    </w:p>
    <w:p w14:paraId="73B5ABC2" w14:textId="77777777" w:rsidR="007D3B9A" w:rsidRPr="004D3E58" w:rsidRDefault="007D3B9A" w:rsidP="007D3B9A">
      <w:pPr>
        <w:pStyle w:val="ListParagraph"/>
        <w:numPr>
          <w:ilvl w:val="1"/>
          <w:numId w:val="1"/>
        </w:numPr>
        <w:rPr>
          <w:rFonts w:cstheme="minorHAnsi"/>
        </w:rPr>
      </w:pPr>
      <w:r w:rsidRPr="004D3E58">
        <w:rPr>
          <w:rFonts w:cstheme="minorHAnsi"/>
        </w:rPr>
        <w:t>If it is expired and in the correct format, we can remove the data but are unable to import.</w:t>
      </w:r>
    </w:p>
    <w:p w14:paraId="1B8B13DC" w14:textId="77777777" w:rsidR="007D3B9A" w:rsidRPr="004D3E58" w:rsidRDefault="007D3B9A" w:rsidP="007D3B9A">
      <w:pPr>
        <w:rPr>
          <w:rFonts w:cstheme="minorHAnsi"/>
          <w:b/>
        </w:rPr>
      </w:pPr>
      <w:r w:rsidRPr="004D3E58">
        <w:rPr>
          <w:rFonts w:cstheme="minorHAnsi"/>
          <w:b/>
        </w:rPr>
        <w:t>Data Import Recommendations</w:t>
      </w:r>
    </w:p>
    <w:p w14:paraId="4185A56E" w14:textId="77777777" w:rsidR="007D3B9A" w:rsidRPr="004D3E58" w:rsidRDefault="007D3B9A" w:rsidP="007D3B9A">
      <w:pPr>
        <w:pStyle w:val="ListParagraph"/>
        <w:numPr>
          <w:ilvl w:val="0"/>
          <w:numId w:val="6"/>
        </w:numPr>
        <w:rPr>
          <w:rFonts w:cstheme="minorHAnsi"/>
        </w:rPr>
      </w:pPr>
      <w:r w:rsidRPr="004D3E58">
        <w:rPr>
          <w:rFonts w:cstheme="minorHAnsi"/>
        </w:rPr>
        <w:t>It is preferred that the client payment method data and credit card data is sent in the same file to minimize the need for additional time to aggregate the data and the potential for errors.</w:t>
      </w:r>
    </w:p>
    <w:p w14:paraId="3F2843E1" w14:textId="77777777" w:rsidR="007D3B9A" w:rsidRPr="004D3E58" w:rsidRDefault="007D3B9A" w:rsidP="007D3B9A">
      <w:pPr>
        <w:pStyle w:val="ListParagraph"/>
        <w:numPr>
          <w:ilvl w:val="0"/>
          <w:numId w:val="6"/>
        </w:numPr>
        <w:rPr>
          <w:rFonts w:cstheme="minorHAnsi"/>
        </w:rPr>
      </w:pPr>
      <w:r w:rsidRPr="004D3E58">
        <w:rPr>
          <w:rFonts w:cstheme="minorHAnsi"/>
        </w:rPr>
        <w:t xml:space="preserve">We recommend that the </w:t>
      </w:r>
      <w:proofErr w:type="gramStart"/>
      <w:r w:rsidRPr="004D3E58">
        <w:rPr>
          <w:rFonts w:cstheme="minorHAnsi"/>
        </w:rPr>
        <w:t>cardholder</w:t>
      </w:r>
      <w:proofErr w:type="gramEnd"/>
      <w:r w:rsidRPr="004D3E58">
        <w:rPr>
          <w:rFonts w:cstheme="minorHAnsi"/>
        </w:rPr>
        <w:t xml:space="preserve"> name is listed in separate cells from the First Name, Last Name &amp; Company Name fields.</w:t>
      </w:r>
    </w:p>
    <w:p w14:paraId="2FF25B19" w14:textId="77777777" w:rsidR="007D3B9A" w:rsidRPr="00132C1E" w:rsidRDefault="007D3B9A" w:rsidP="00132C1E">
      <w:pPr>
        <w:rPr>
          <w:rFonts w:cstheme="minorHAnsi"/>
          <w:b/>
          <w:bCs/>
        </w:rPr>
      </w:pPr>
      <w:r w:rsidRPr="00132C1E">
        <w:rPr>
          <w:rFonts w:cstheme="minorHAnsi"/>
          <w:b/>
          <w:bCs/>
        </w:rPr>
        <w:t>Customer Requirements</w:t>
      </w:r>
    </w:p>
    <w:p w14:paraId="7F9D8DB1" w14:textId="3ACEDCE4" w:rsidR="007D3B9A" w:rsidRPr="004D3E58" w:rsidRDefault="007D3B9A" w:rsidP="007D3B9A">
      <w:pPr>
        <w:jc w:val="both"/>
        <w:rPr>
          <w:rFonts w:cstheme="minorHAnsi"/>
        </w:rPr>
      </w:pPr>
      <w:r w:rsidRPr="004D3E58">
        <w:rPr>
          <w:rFonts w:cstheme="minorHAnsi"/>
        </w:rPr>
        <w:t>A Client Data Import Authorization &amp; Request Form must be completed before Integration ca</w:t>
      </w:r>
      <w:r w:rsidR="005020ED">
        <w:rPr>
          <w:rFonts w:cstheme="minorHAnsi"/>
        </w:rPr>
        <w:t>n review the import</w:t>
      </w:r>
      <w:r w:rsidRPr="004D3E58">
        <w:rPr>
          <w:rFonts w:cstheme="minorHAnsi"/>
        </w:rPr>
        <w:t xml:space="preserve"> data </w:t>
      </w:r>
      <w:r w:rsidR="005020ED">
        <w:rPr>
          <w:rFonts w:cstheme="minorHAnsi"/>
        </w:rPr>
        <w:t xml:space="preserve">and complete the </w:t>
      </w:r>
      <w:r w:rsidRPr="004D3E58">
        <w:rPr>
          <w:rFonts w:cstheme="minorHAnsi"/>
        </w:rPr>
        <w:t xml:space="preserve">import process. This form includes the following information and will be sent via email after the </w:t>
      </w:r>
      <w:r w:rsidR="00132C1E">
        <w:rPr>
          <w:rFonts w:cstheme="minorHAnsi"/>
        </w:rPr>
        <w:t>consultation</w:t>
      </w:r>
      <w:r w:rsidRPr="004D3E58">
        <w:rPr>
          <w:rFonts w:cstheme="minorHAnsi"/>
        </w:rPr>
        <w:t xml:space="preserve"> call has been completed.</w:t>
      </w:r>
    </w:p>
    <w:p w14:paraId="0E65DB71" w14:textId="77777777" w:rsidR="007D3B9A" w:rsidRPr="004D3E58" w:rsidRDefault="007D3B9A" w:rsidP="007D3B9A">
      <w:pPr>
        <w:pStyle w:val="ListParagraph"/>
        <w:numPr>
          <w:ilvl w:val="0"/>
          <w:numId w:val="4"/>
        </w:numPr>
        <w:rPr>
          <w:rFonts w:cstheme="minorHAnsi"/>
        </w:rPr>
      </w:pPr>
      <w:r w:rsidRPr="004D3E58">
        <w:rPr>
          <w:rFonts w:cstheme="minorHAnsi"/>
        </w:rPr>
        <w:t xml:space="preserve">Fee agreement </w:t>
      </w:r>
    </w:p>
    <w:p w14:paraId="74A03C3D" w14:textId="77777777" w:rsidR="007D3B9A" w:rsidRPr="004D3E58" w:rsidRDefault="007D3B9A" w:rsidP="007D3B9A">
      <w:pPr>
        <w:pStyle w:val="ListParagraph"/>
        <w:numPr>
          <w:ilvl w:val="0"/>
          <w:numId w:val="4"/>
        </w:numPr>
        <w:rPr>
          <w:rFonts w:cstheme="minorHAnsi"/>
        </w:rPr>
      </w:pPr>
      <w:r w:rsidRPr="004D3E58">
        <w:rPr>
          <w:rFonts w:cstheme="minorHAnsi"/>
        </w:rPr>
        <w:t>Business Name</w:t>
      </w:r>
    </w:p>
    <w:p w14:paraId="4233E739" w14:textId="77777777" w:rsidR="007D3B9A" w:rsidRPr="004D3E58" w:rsidRDefault="007D3B9A" w:rsidP="007D3B9A">
      <w:pPr>
        <w:pStyle w:val="ListParagraph"/>
        <w:numPr>
          <w:ilvl w:val="0"/>
          <w:numId w:val="4"/>
        </w:numPr>
        <w:rPr>
          <w:rFonts w:cstheme="minorHAnsi"/>
        </w:rPr>
      </w:pPr>
      <w:r w:rsidRPr="004D3E58">
        <w:rPr>
          <w:rFonts w:cstheme="minorHAnsi"/>
        </w:rPr>
        <w:t>Forte Location ID (also referred to as Merchant ID or MID)</w:t>
      </w:r>
    </w:p>
    <w:p w14:paraId="5C3A414F" w14:textId="77777777" w:rsidR="007D3B9A" w:rsidRPr="004D3E58" w:rsidRDefault="007D3B9A" w:rsidP="007D3B9A">
      <w:pPr>
        <w:pStyle w:val="ListParagraph"/>
        <w:numPr>
          <w:ilvl w:val="0"/>
          <w:numId w:val="4"/>
        </w:numPr>
        <w:rPr>
          <w:rFonts w:cstheme="minorHAnsi"/>
        </w:rPr>
      </w:pPr>
      <w:r w:rsidRPr="004D3E58">
        <w:rPr>
          <w:rFonts w:cstheme="minorHAnsi"/>
        </w:rPr>
        <w:t>Email address to send exception report and results</w:t>
      </w:r>
    </w:p>
    <w:p w14:paraId="41E8581A" w14:textId="77777777" w:rsidR="007D3B9A" w:rsidRPr="004D3E58" w:rsidRDefault="007D3B9A" w:rsidP="007D3B9A">
      <w:pPr>
        <w:pStyle w:val="ListParagraph"/>
        <w:numPr>
          <w:ilvl w:val="0"/>
          <w:numId w:val="4"/>
        </w:numPr>
        <w:rPr>
          <w:rFonts w:cstheme="minorHAnsi"/>
        </w:rPr>
      </w:pPr>
      <w:r w:rsidRPr="004D3E58">
        <w:rPr>
          <w:rFonts w:cstheme="minorHAnsi"/>
        </w:rPr>
        <w:t xml:space="preserve">Name and Title of Authorizing Individual (must be owner, </w:t>
      </w:r>
      <w:proofErr w:type="gramStart"/>
      <w:r w:rsidRPr="004D3E58">
        <w:rPr>
          <w:rFonts w:cstheme="minorHAnsi"/>
        </w:rPr>
        <w:t>officer</w:t>
      </w:r>
      <w:proofErr w:type="gramEnd"/>
      <w:r w:rsidRPr="004D3E58">
        <w:rPr>
          <w:rFonts w:cstheme="minorHAnsi"/>
        </w:rPr>
        <w:t xml:space="preserve"> or application signer)</w:t>
      </w:r>
    </w:p>
    <w:p w14:paraId="1E080546" w14:textId="433EC217" w:rsidR="0019141C" w:rsidRPr="0019141C" w:rsidRDefault="007D3B9A" w:rsidP="0019141C">
      <w:pPr>
        <w:pStyle w:val="ListParagraph"/>
        <w:numPr>
          <w:ilvl w:val="0"/>
          <w:numId w:val="4"/>
        </w:numPr>
        <w:rPr>
          <w:rFonts w:cstheme="minorHAnsi"/>
        </w:rPr>
      </w:pPr>
      <w:r w:rsidRPr="0019141C">
        <w:rPr>
          <w:rFonts w:cstheme="minorHAnsi"/>
        </w:rPr>
        <w:t>Signature of Authorizing Individual</w:t>
      </w:r>
    </w:p>
    <w:p w14:paraId="4E10BBE3" w14:textId="77777777" w:rsidR="007D3B9A" w:rsidRPr="0019141C" w:rsidRDefault="007D3B9A" w:rsidP="0019141C">
      <w:pPr>
        <w:rPr>
          <w:rFonts w:cstheme="minorHAnsi"/>
          <w:b/>
          <w:bCs/>
        </w:rPr>
      </w:pPr>
      <w:r w:rsidRPr="0019141C">
        <w:rPr>
          <w:rFonts w:cstheme="minorHAnsi"/>
          <w:b/>
          <w:bCs/>
        </w:rPr>
        <w:t>Data Import Assessment Review</w:t>
      </w:r>
    </w:p>
    <w:p w14:paraId="7304C163" w14:textId="42912B94" w:rsidR="007D3B9A" w:rsidRPr="004D3E58" w:rsidRDefault="007D3B9A" w:rsidP="007D3B9A">
      <w:pPr>
        <w:jc w:val="both"/>
        <w:rPr>
          <w:rFonts w:cstheme="minorHAnsi"/>
        </w:rPr>
      </w:pPr>
      <w:r w:rsidRPr="004D3E58">
        <w:rPr>
          <w:rFonts w:cstheme="minorHAnsi"/>
        </w:rPr>
        <w:t xml:space="preserve">As a courtesy, Forte provides a complimentary data import review for merchants to be able to provide a more accurate estimate to complete the desire import. Upon receiving the </w:t>
      </w:r>
      <w:r w:rsidR="005020ED">
        <w:rPr>
          <w:rFonts w:cstheme="minorHAnsi"/>
        </w:rPr>
        <w:t xml:space="preserve">completed authorization and release form, and subsequent </w:t>
      </w:r>
      <w:r w:rsidRPr="004D3E58">
        <w:rPr>
          <w:rFonts w:cstheme="minorHAnsi"/>
        </w:rPr>
        <w:t>data from the PCI compliant 3</w:t>
      </w:r>
      <w:r w:rsidRPr="004D3E58">
        <w:rPr>
          <w:rFonts w:cstheme="minorHAnsi"/>
          <w:vertAlign w:val="superscript"/>
        </w:rPr>
        <w:t>rd</w:t>
      </w:r>
      <w:r w:rsidRPr="004D3E58">
        <w:rPr>
          <w:rFonts w:cstheme="minorHAnsi"/>
        </w:rPr>
        <w:t xml:space="preserve"> party source</w:t>
      </w:r>
      <w:r w:rsidR="005020ED">
        <w:rPr>
          <w:rFonts w:cstheme="minorHAnsi"/>
        </w:rPr>
        <w:t>;</w:t>
      </w:r>
      <w:r w:rsidRPr="004D3E58">
        <w:rPr>
          <w:rFonts w:cstheme="minorHAnsi"/>
        </w:rPr>
        <w:t xml:space="preserve"> Forte will require up to three (3) business days to review the details and </w:t>
      </w:r>
      <w:r w:rsidR="005020ED">
        <w:rPr>
          <w:rFonts w:cstheme="minorHAnsi"/>
        </w:rPr>
        <w:t xml:space="preserve">provide an updated </w:t>
      </w:r>
      <w:r w:rsidRPr="004D3E58">
        <w:rPr>
          <w:rFonts w:cstheme="minorHAnsi"/>
        </w:rPr>
        <w:t xml:space="preserve">billing estimate. An Integration Specialist </w:t>
      </w:r>
      <w:r w:rsidRPr="004D3E58">
        <w:rPr>
          <w:rFonts w:cstheme="minorHAnsi"/>
        </w:rPr>
        <w:lastRenderedPageBreak/>
        <w:t>will email the business contact confirmation that the data has been received and will a schedule call to discuss outcomes related to the data import including:</w:t>
      </w:r>
    </w:p>
    <w:p w14:paraId="187BEF93" w14:textId="77777777" w:rsidR="007D3B9A" w:rsidRPr="004D3E58" w:rsidRDefault="007D3B9A" w:rsidP="007D3B9A">
      <w:pPr>
        <w:pStyle w:val="ListParagraph"/>
        <w:numPr>
          <w:ilvl w:val="0"/>
          <w:numId w:val="4"/>
        </w:numPr>
        <w:rPr>
          <w:rFonts w:cstheme="minorHAnsi"/>
        </w:rPr>
      </w:pPr>
      <w:r w:rsidRPr="004D3E58">
        <w:rPr>
          <w:rFonts w:cstheme="minorHAnsi"/>
        </w:rPr>
        <w:t xml:space="preserve">Confirm date to begin import process </w:t>
      </w:r>
    </w:p>
    <w:p w14:paraId="65A29093" w14:textId="341475B1" w:rsidR="007D3B9A" w:rsidRPr="004D3E58" w:rsidRDefault="00F96875" w:rsidP="007D3B9A">
      <w:pPr>
        <w:pStyle w:val="ListParagraph"/>
        <w:numPr>
          <w:ilvl w:val="0"/>
          <w:numId w:val="4"/>
        </w:numPr>
        <w:rPr>
          <w:rFonts w:cstheme="minorHAnsi"/>
        </w:rPr>
      </w:pPr>
      <w:r>
        <w:rPr>
          <w:rFonts w:cstheme="minorHAnsi"/>
        </w:rPr>
        <w:t>Provide e</w:t>
      </w:r>
      <w:r w:rsidR="007D3B9A" w:rsidRPr="004D3E58">
        <w:rPr>
          <w:rFonts w:cstheme="minorHAnsi"/>
        </w:rPr>
        <w:t xml:space="preserve">stimated timeline to complete import </w:t>
      </w:r>
    </w:p>
    <w:p w14:paraId="28913DC2" w14:textId="34BF00DC" w:rsidR="007D3B9A" w:rsidRDefault="007D3B9A" w:rsidP="007D3B9A">
      <w:pPr>
        <w:pStyle w:val="ListParagraph"/>
        <w:numPr>
          <w:ilvl w:val="0"/>
          <w:numId w:val="4"/>
        </w:numPr>
        <w:rPr>
          <w:rFonts w:cstheme="minorHAnsi"/>
        </w:rPr>
      </w:pPr>
      <w:r w:rsidRPr="004D3E58">
        <w:rPr>
          <w:rFonts w:cstheme="minorHAnsi"/>
        </w:rPr>
        <w:t>Provide</w:t>
      </w:r>
      <w:r w:rsidR="00F96875">
        <w:rPr>
          <w:rFonts w:cstheme="minorHAnsi"/>
        </w:rPr>
        <w:t xml:space="preserve"> an</w:t>
      </w:r>
      <w:r w:rsidR="005020ED">
        <w:rPr>
          <w:rFonts w:cstheme="minorHAnsi"/>
        </w:rPr>
        <w:t xml:space="preserve"> updated</w:t>
      </w:r>
      <w:r w:rsidRPr="004D3E58">
        <w:rPr>
          <w:rFonts w:cstheme="minorHAnsi"/>
        </w:rPr>
        <w:t xml:space="preserve"> billing estimate based on hours of expected work</w:t>
      </w:r>
    </w:p>
    <w:p w14:paraId="35BCBDD8" w14:textId="77777777" w:rsidR="0019141C" w:rsidRDefault="0019141C" w:rsidP="007D3B9A">
      <w:pPr>
        <w:jc w:val="center"/>
        <w:rPr>
          <w:rFonts w:cstheme="minorHAnsi"/>
          <w:b/>
          <w:bCs/>
          <w:u w:val="single"/>
        </w:rPr>
      </w:pPr>
    </w:p>
    <w:p w14:paraId="4460104B" w14:textId="6D06B78E" w:rsidR="007D3B9A" w:rsidRPr="004D3E58" w:rsidRDefault="007D3B9A" w:rsidP="007D3B9A">
      <w:pPr>
        <w:jc w:val="center"/>
        <w:rPr>
          <w:rFonts w:cstheme="minorHAnsi"/>
          <w:b/>
          <w:bCs/>
          <w:u w:val="single"/>
        </w:rPr>
      </w:pPr>
      <w:r w:rsidRPr="004D3E58">
        <w:rPr>
          <w:rFonts w:cstheme="minorHAnsi"/>
          <w:b/>
          <w:bCs/>
          <w:u w:val="single"/>
        </w:rPr>
        <w:t xml:space="preserve">General Scope of Work </w:t>
      </w:r>
    </w:p>
    <w:p w14:paraId="345DF3AD" w14:textId="334835C9" w:rsidR="007D3B9A" w:rsidRDefault="007D3B9A" w:rsidP="007D3B9A">
      <w:pPr>
        <w:jc w:val="both"/>
        <w:rPr>
          <w:rFonts w:cstheme="minorHAnsi"/>
        </w:rPr>
      </w:pPr>
      <w:r w:rsidRPr="004D3E58">
        <w:rPr>
          <w:rFonts w:cstheme="minorHAnsi"/>
        </w:rPr>
        <w:t>In most cases, Integration</w:t>
      </w:r>
      <w:r>
        <w:rPr>
          <w:rFonts w:cstheme="minorHAnsi"/>
        </w:rPr>
        <w:t xml:space="preserve"> generally</w:t>
      </w:r>
      <w:r w:rsidRPr="004D3E58">
        <w:rPr>
          <w:rFonts w:cstheme="minorHAnsi"/>
        </w:rPr>
        <w:t xml:space="preserve"> requires one (1) business day for every 25,000 records to be imported. An additional one (1) to three (3) business days will be required to complete the import</w:t>
      </w:r>
      <w:r w:rsidR="00F96875">
        <w:rPr>
          <w:rFonts w:cstheme="minorHAnsi"/>
        </w:rPr>
        <w:t xml:space="preserve"> and tokenization</w:t>
      </w:r>
      <w:r w:rsidRPr="004D3E58">
        <w:rPr>
          <w:rFonts w:cstheme="minorHAnsi"/>
        </w:rPr>
        <w:t xml:space="preserve"> once all </w:t>
      </w:r>
      <w:r>
        <w:rPr>
          <w:rFonts w:cstheme="minorHAnsi"/>
        </w:rPr>
        <w:t>data has been massaged</w:t>
      </w:r>
      <w:r w:rsidRPr="004D3E58">
        <w:rPr>
          <w:rFonts w:cstheme="minorHAnsi"/>
        </w:rPr>
        <w:t xml:space="preserve">. </w:t>
      </w:r>
      <w:r w:rsidR="00F96875">
        <w:rPr>
          <w:rFonts w:cstheme="minorHAnsi"/>
        </w:rPr>
        <w:t>The b</w:t>
      </w:r>
      <w:r w:rsidRPr="004D3E58">
        <w:rPr>
          <w:rFonts w:cstheme="minorHAnsi"/>
        </w:rPr>
        <w:t xml:space="preserve">elow </w:t>
      </w:r>
      <w:r w:rsidR="00F96875">
        <w:rPr>
          <w:rFonts w:cstheme="minorHAnsi"/>
        </w:rPr>
        <w:t xml:space="preserve">chart </w:t>
      </w:r>
      <w:r w:rsidRPr="004D3E58">
        <w:rPr>
          <w:rFonts w:cstheme="minorHAnsi"/>
        </w:rPr>
        <w:t xml:space="preserve">provides a general overview of the scope of work. </w:t>
      </w:r>
    </w:p>
    <w:p w14:paraId="038818F8" w14:textId="77777777" w:rsidR="00144903" w:rsidRPr="0019141C" w:rsidRDefault="00144903" w:rsidP="007D3B9A">
      <w:pPr>
        <w:jc w:val="both"/>
        <w:rPr>
          <w:rFonts w:cstheme="minorHAnsi"/>
          <w:sz w:val="16"/>
          <w:szCs w:val="16"/>
        </w:rPr>
      </w:pPr>
    </w:p>
    <w:tbl>
      <w:tblPr>
        <w:tblStyle w:val="TableGrid"/>
        <w:tblW w:w="7697" w:type="dxa"/>
        <w:tblInd w:w="827" w:type="dxa"/>
        <w:tblLook w:val="04A0" w:firstRow="1" w:lastRow="0" w:firstColumn="1" w:lastColumn="0" w:noHBand="0" w:noVBand="1"/>
      </w:tblPr>
      <w:tblGrid>
        <w:gridCol w:w="2682"/>
        <w:gridCol w:w="1278"/>
        <w:gridCol w:w="3737"/>
      </w:tblGrid>
      <w:tr w:rsidR="007D3B9A" w:rsidRPr="004D3E58" w14:paraId="733D75C0" w14:textId="77777777" w:rsidTr="008B29EA">
        <w:trPr>
          <w:trHeight w:val="498"/>
        </w:trPr>
        <w:tc>
          <w:tcPr>
            <w:tcW w:w="2682" w:type="dxa"/>
            <w:shd w:val="clear" w:color="auto" w:fill="BFBFBF" w:themeFill="background1" w:themeFillShade="BF"/>
          </w:tcPr>
          <w:p w14:paraId="1359F2F1" w14:textId="77777777" w:rsidR="007D3B9A" w:rsidRDefault="007D3B9A" w:rsidP="008B29EA">
            <w:pPr>
              <w:jc w:val="center"/>
              <w:rPr>
                <w:rFonts w:cstheme="minorHAnsi"/>
                <w:b/>
                <w:bCs/>
              </w:rPr>
            </w:pPr>
            <w:bookmarkStart w:id="0" w:name="_Hlk11410370"/>
            <w:r w:rsidRPr="00E54DA2">
              <w:rPr>
                <w:rFonts w:cstheme="minorHAnsi"/>
                <w:b/>
                <w:bCs/>
              </w:rPr>
              <w:t>Post Consult</w:t>
            </w:r>
          </w:p>
          <w:p w14:paraId="7CC9B8C6" w14:textId="77777777" w:rsidR="007D3B9A" w:rsidRPr="00E54DA2" w:rsidRDefault="007D3B9A" w:rsidP="008B29EA">
            <w:pPr>
              <w:jc w:val="center"/>
              <w:rPr>
                <w:rFonts w:cstheme="minorHAnsi"/>
                <w:b/>
                <w:bCs/>
              </w:rPr>
            </w:pPr>
            <w:r w:rsidRPr="00E54DA2">
              <w:rPr>
                <w:rFonts w:cstheme="minorHAnsi"/>
                <w:b/>
                <w:bCs/>
              </w:rPr>
              <w:t>Import Lifecycle</w:t>
            </w:r>
          </w:p>
          <w:p w14:paraId="61C29118" w14:textId="77777777" w:rsidR="007D3B9A" w:rsidRPr="00E54DA2" w:rsidRDefault="007D3B9A" w:rsidP="008B29EA">
            <w:pPr>
              <w:jc w:val="center"/>
              <w:rPr>
                <w:rFonts w:cstheme="minorHAnsi"/>
                <w:b/>
                <w:bCs/>
              </w:rPr>
            </w:pPr>
          </w:p>
        </w:tc>
        <w:tc>
          <w:tcPr>
            <w:tcW w:w="1278" w:type="dxa"/>
            <w:shd w:val="clear" w:color="auto" w:fill="BFBFBF" w:themeFill="background1" w:themeFillShade="BF"/>
          </w:tcPr>
          <w:p w14:paraId="004527A7" w14:textId="77777777" w:rsidR="007D3B9A" w:rsidRDefault="007D3B9A" w:rsidP="008B29EA">
            <w:pPr>
              <w:jc w:val="center"/>
              <w:rPr>
                <w:rFonts w:cstheme="minorHAnsi"/>
                <w:b/>
                <w:bCs/>
              </w:rPr>
            </w:pPr>
          </w:p>
          <w:p w14:paraId="780EF4A7" w14:textId="77777777" w:rsidR="007D3B9A" w:rsidRPr="00E54DA2" w:rsidRDefault="007D3B9A" w:rsidP="008B29EA">
            <w:pPr>
              <w:jc w:val="center"/>
              <w:rPr>
                <w:rFonts w:cstheme="minorHAnsi"/>
                <w:b/>
                <w:bCs/>
              </w:rPr>
            </w:pPr>
            <w:r w:rsidRPr="00E54DA2">
              <w:rPr>
                <w:rFonts w:cstheme="minorHAnsi"/>
                <w:b/>
                <w:bCs/>
              </w:rPr>
              <w:t>Volume</w:t>
            </w:r>
          </w:p>
        </w:tc>
        <w:tc>
          <w:tcPr>
            <w:tcW w:w="3737" w:type="dxa"/>
            <w:shd w:val="clear" w:color="auto" w:fill="BFBFBF" w:themeFill="background1" w:themeFillShade="BF"/>
          </w:tcPr>
          <w:p w14:paraId="70CC9357" w14:textId="77777777" w:rsidR="007D3B9A" w:rsidRPr="00E54DA2" w:rsidRDefault="007D3B9A" w:rsidP="008B29EA">
            <w:pPr>
              <w:jc w:val="center"/>
              <w:rPr>
                <w:rFonts w:cstheme="minorHAnsi"/>
                <w:b/>
                <w:bCs/>
              </w:rPr>
            </w:pPr>
            <w:r w:rsidRPr="00E54DA2">
              <w:rPr>
                <w:rFonts w:cstheme="minorHAnsi"/>
                <w:b/>
                <w:bCs/>
              </w:rPr>
              <w:t>Estimated Import Lifecycle Implementation</w:t>
            </w:r>
          </w:p>
        </w:tc>
      </w:tr>
      <w:bookmarkEnd w:id="0"/>
      <w:tr w:rsidR="007D3B9A" w:rsidRPr="004D3E58" w14:paraId="6FD5A71C" w14:textId="77777777" w:rsidTr="008B29EA">
        <w:trPr>
          <w:trHeight w:val="512"/>
        </w:trPr>
        <w:tc>
          <w:tcPr>
            <w:tcW w:w="2682" w:type="dxa"/>
            <w:vMerge w:val="restart"/>
            <w:shd w:val="clear" w:color="auto" w:fill="auto"/>
          </w:tcPr>
          <w:p w14:paraId="17DB3E6A" w14:textId="77777777" w:rsidR="007D3B9A" w:rsidRPr="00E54DA2" w:rsidRDefault="007D3B9A" w:rsidP="007D3B9A">
            <w:pPr>
              <w:pStyle w:val="ListParagraph"/>
              <w:numPr>
                <w:ilvl w:val="0"/>
                <w:numId w:val="7"/>
              </w:numPr>
              <w:rPr>
                <w:rFonts w:cstheme="minorHAnsi"/>
                <w:b/>
                <w:bCs/>
              </w:rPr>
            </w:pPr>
            <w:r w:rsidRPr="00E54DA2">
              <w:rPr>
                <w:rFonts w:cstheme="minorHAnsi"/>
                <w:b/>
                <w:bCs/>
              </w:rPr>
              <w:t>Data Import Review</w:t>
            </w:r>
          </w:p>
          <w:p w14:paraId="50F61F21" w14:textId="77777777" w:rsidR="007D3B9A" w:rsidRPr="00E54DA2" w:rsidRDefault="007D3B9A" w:rsidP="007D3B9A">
            <w:pPr>
              <w:pStyle w:val="ListParagraph"/>
              <w:numPr>
                <w:ilvl w:val="0"/>
                <w:numId w:val="7"/>
              </w:numPr>
              <w:rPr>
                <w:rFonts w:cstheme="minorHAnsi"/>
                <w:b/>
                <w:bCs/>
              </w:rPr>
            </w:pPr>
            <w:r w:rsidRPr="00E54DA2">
              <w:rPr>
                <w:rFonts w:cstheme="minorHAnsi"/>
                <w:b/>
                <w:bCs/>
              </w:rPr>
              <w:t xml:space="preserve">Data </w:t>
            </w:r>
            <w:r>
              <w:rPr>
                <w:rFonts w:cstheme="minorHAnsi"/>
                <w:b/>
                <w:bCs/>
              </w:rPr>
              <w:t>Massaging</w:t>
            </w:r>
          </w:p>
          <w:p w14:paraId="6E1F62D6" w14:textId="77777777" w:rsidR="007D3B9A" w:rsidRDefault="007D3B9A" w:rsidP="007D3B9A">
            <w:pPr>
              <w:pStyle w:val="ListParagraph"/>
              <w:numPr>
                <w:ilvl w:val="0"/>
                <w:numId w:val="7"/>
              </w:numPr>
              <w:rPr>
                <w:rFonts w:cstheme="minorHAnsi"/>
                <w:b/>
                <w:bCs/>
              </w:rPr>
            </w:pPr>
            <w:r w:rsidRPr="00E54DA2">
              <w:rPr>
                <w:rFonts w:cstheme="minorHAnsi"/>
                <w:b/>
                <w:bCs/>
              </w:rPr>
              <w:t xml:space="preserve">Data Import </w:t>
            </w:r>
          </w:p>
          <w:p w14:paraId="0D151ECA" w14:textId="79949145" w:rsidR="00A22E8F" w:rsidRPr="00E54DA2" w:rsidRDefault="00A22E8F" w:rsidP="007D3B9A">
            <w:pPr>
              <w:pStyle w:val="ListParagraph"/>
              <w:numPr>
                <w:ilvl w:val="0"/>
                <w:numId w:val="7"/>
              </w:numPr>
              <w:rPr>
                <w:rFonts w:cstheme="minorHAnsi"/>
                <w:b/>
                <w:bCs/>
              </w:rPr>
            </w:pPr>
            <w:r>
              <w:rPr>
                <w:rFonts w:cstheme="minorHAnsi"/>
                <w:b/>
                <w:bCs/>
              </w:rPr>
              <w:t xml:space="preserve">Data </w:t>
            </w:r>
            <w:r w:rsidR="00F96875">
              <w:rPr>
                <w:rFonts w:cstheme="minorHAnsi"/>
                <w:b/>
                <w:bCs/>
              </w:rPr>
              <w:t>T</w:t>
            </w:r>
            <w:r>
              <w:rPr>
                <w:rFonts w:cstheme="minorHAnsi"/>
                <w:b/>
                <w:bCs/>
              </w:rPr>
              <w:t>okenization</w:t>
            </w:r>
          </w:p>
        </w:tc>
        <w:tc>
          <w:tcPr>
            <w:tcW w:w="1278" w:type="dxa"/>
            <w:shd w:val="clear" w:color="auto" w:fill="auto"/>
          </w:tcPr>
          <w:p w14:paraId="7E4AF123" w14:textId="77777777" w:rsidR="007D3B9A" w:rsidRPr="00E54DA2" w:rsidRDefault="007D3B9A" w:rsidP="008B29EA">
            <w:pPr>
              <w:rPr>
                <w:rFonts w:cstheme="minorHAnsi"/>
                <w:b/>
                <w:bCs/>
              </w:rPr>
            </w:pPr>
            <w:r w:rsidRPr="00E54DA2">
              <w:rPr>
                <w:rFonts w:cstheme="minorHAnsi"/>
                <w:b/>
                <w:bCs/>
              </w:rPr>
              <w:t>Up to 100,000</w:t>
            </w:r>
          </w:p>
        </w:tc>
        <w:tc>
          <w:tcPr>
            <w:tcW w:w="3737" w:type="dxa"/>
            <w:shd w:val="clear" w:color="auto" w:fill="auto"/>
          </w:tcPr>
          <w:p w14:paraId="1C11D00A" w14:textId="77777777" w:rsidR="007D3B9A" w:rsidRPr="00E54DA2" w:rsidRDefault="007D3B9A" w:rsidP="008B29EA">
            <w:pPr>
              <w:rPr>
                <w:rFonts w:cstheme="minorHAnsi"/>
                <w:b/>
                <w:bCs/>
              </w:rPr>
            </w:pPr>
            <w:r w:rsidRPr="00E54DA2">
              <w:rPr>
                <w:rFonts w:cstheme="minorHAnsi"/>
                <w:b/>
                <w:bCs/>
              </w:rPr>
              <w:t>5 business days</w:t>
            </w:r>
          </w:p>
          <w:p w14:paraId="7266E114" w14:textId="77777777" w:rsidR="007D3B9A" w:rsidRPr="00E54DA2" w:rsidRDefault="007D3B9A" w:rsidP="008B29EA">
            <w:pPr>
              <w:rPr>
                <w:rFonts w:cstheme="minorHAnsi"/>
                <w:b/>
                <w:bCs/>
              </w:rPr>
            </w:pPr>
          </w:p>
        </w:tc>
      </w:tr>
      <w:tr w:rsidR="007D3B9A" w:rsidRPr="004D3E58" w14:paraId="532F7C98" w14:textId="77777777" w:rsidTr="008B29EA">
        <w:trPr>
          <w:trHeight w:val="512"/>
        </w:trPr>
        <w:tc>
          <w:tcPr>
            <w:tcW w:w="2682" w:type="dxa"/>
            <w:vMerge/>
            <w:shd w:val="clear" w:color="auto" w:fill="auto"/>
          </w:tcPr>
          <w:p w14:paraId="7278DE45" w14:textId="77777777" w:rsidR="007D3B9A" w:rsidRPr="00E54DA2" w:rsidRDefault="007D3B9A" w:rsidP="008B29EA">
            <w:pPr>
              <w:rPr>
                <w:rFonts w:cstheme="minorHAnsi"/>
                <w:b/>
                <w:bCs/>
              </w:rPr>
            </w:pPr>
          </w:p>
        </w:tc>
        <w:tc>
          <w:tcPr>
            <w:tcW w:w="1278" w:type="dxa"/>
            <w:shd w:val="clear" w:color="auto" w:fill="auto"/>
          </w:tcPr>
          <w:p w14:paraId="21F3FC12" w14:textId="77777777" w:rsidR="007D3B9A" w:rsidRPr="00E54DA2" w:rsidRDefault="007D3B9A" w:rsidP="008B29EA">
            <w:pPr>
              <w:rPr>
                <w:rFonts w:cstheme="minorHAnsi"/>
                <w:b/>
                <w:bCs/>
              </w:rPr>
            </w:pPr>
            <w:r w:rsidRPr="00E54DA2">
              <w:rPr>
                <w:rFonts w:cstheme="minorHAnsi"/>
                <w:b/>
                <w:bCs/>
              </w:rPr>
              <w:t>Up to 250,000</w:t>
            </w:r>
          </w:p>
        </w:tc>
        <w:tc>
          <w:tcPr>
            <w:tcW w:w="3737" w:type="dxa"/>
            <w:shd w:val="clear" w:color="auto" w:fill="auto"/>
          </w:tcPr>
          <w:p w14:paraId="281A13E2" w14:textId="77777777" w:rsidR="007D3B9A" w:rsidRPr="00E54DA2" w:rsidRDefault="007D3B9A" w:rsidP="008B29EA">
            <w:pPr>
              <w:rPr>
                <w:rFonts w:cstheme="minorHAnsi"/>
                <w:b/>
                <w:bCs/>
              </w:rPr>
            </w:pPr>
            <w:r>
              <w:rPr>
                <w:rFonts w:cstheme="minorHAnsi"/>
                <w:b/>
                <w:bCs/>
              </w:rPr>
              <w:t xml:space="preserve">10 </w:t>
            </w:r>
            <w:r w:rsidRPr="00E54DA2">
              <w:rPr>
                <w:rFonts w:cstheme="minorHAnsi"/>
                <w:b/>
                <w:bCs/>
              </w:rPr>
              <w:t>business days</w:t>
            </w:r>
          </w:p>
          <w:p w14:paraId="0B799AAC" w14:textId="77777777" w:rsidR="007D3B9A" w:rsidRPr="00E54DA2" w:rsidRDefault="007D3B9A" w:rsidP="008B29EA">
            <w:pPr>
              <w:rPr>
                <w:rFonts w:cstheme="minorHAnsi"/>
                <w:b/>
                <w:bCs/>
              </w:rPr>
            </w:pPr>
          </w:p>
        </w:tc>
      </w:tr>
      <w:tr w:rsidR="007D3B9A" w:rsidRPr="004D3E58" w14:paraId="536D94FA" w14:textId="77777777" w:rsidTr="008B29EA">
        <w:trPr>
          <w:trHeight w:val="526"/>
        </w:trPr>
        <w:tc>
          <w:tcPr>
            <w:tcW w:w="2682" w:type="dxa"/>
            <w:vMerge/>
            <w:shd w:val="clear" w:color="auto" w:fill="auto"/>
          </w:tcPr>
          <w:p w14:paraId="5FCBB154" w14:textId="77777777" w:rsidR="007D3B9A" w:rsidRPr="00E54DA2" w:rsidRDefault="007D3B9A" w:rsidP="008B29EA">
            <w:pPr>
              <w:rPr>
                <w:rFonts w:cstheme="minorHAnsi"/>
                <w:b/>
                <w:bCs/>
              </w:rPr>
            </w:pPr>
          </w:p>
        </w:tc>
        <w:tc>
          <w:tcPr>
            <w:tcW w:w="1278" w:type="dxa"/>
            <w:shd w:val="clear" w:color="auto" w:fill="auto"/>
          </w:tcPr>
          <w:p w14:paraId="245EC2C0" w14:textId="77777777" w:rsidR="007D3B9A" w:rsidRPr="00E54DA2" w:rsidRDefault="007D3B9A" w:rsidP="008B29EA">
            <w:pPr>
              <w:rPr>
                <w:rFonts w:cstheme="minorHAnsi"/>
                <w:b/>
                <w:bCs/>
              </w:rPr>
            </w:pPr>
            <w:r w:rsidRPr="00E54DA2">
              <w:rPr>
                <w:rFonts w:cstheme="minorHAnsi"/>
                <w:b/>
                <w:bCs/>
              </w:rPr>
              <w:t>UP to 500,000</w:t>
            </w:r>
          </w:p>
        </w:tc>
        <w:tc>
          <w:tcPr>
            <w:tcW w:w="3737" w:type="dxa"/>
            <w:shd w:val="clear" w:color="auto" w:fill="auto"/>
          </w:tcPr>
          <w:p w14:paraId="6262146B" w14:textId="77777777" w:rsidR="007D3B9A" w:rsidRPr="00E54DA2" w:rsidRDefault="007D3B9A" w:rsidP="008B29EA">
            <w:pPr>
              <w:rPr>
                <w:rFonts w:cstheme="minorHAnsi"/>
                <w:b/>
                <w:bCs/>
              </w:rPr>
            </w:pPr>
            <w:r w:rsidRPr="00E54DA2">
              <w:rPr>
                <w:rFonts w:cstheme="minorHAnsi"/>
                <w:b/>
                <w:bCs/>
              </w:rPr>
              <w:t>20 business days</w:t>
            </w:r>
          </w:p>
          <w:p w14:paraId="67B63073" w14:textId="77777777" w:rsidR="007D3B9A" w:rsidRPr="00E54DA2" w:rsidRDefault="007D3B9A" w:rsidP="008B29EA">
            <w:pPr>
              <w:rPr>
                <w:rFonts w:cstheme="minorHAnsi"/>
                <w:b/>
                <w:bCs/>
              </w:rPr>
            </w:pPr>
          </w:p>
        </w:tc>
      </w:tr>
      <w:tr w:rsidR="007D3B9A" w:rsidRPr="004D3E58" w14:paraId="6F0D6D55" w14:textId="77777777" w:rsidTr="008B29EA">
        <w:trPr>
          <w:trHeight w:val="512"/>
        </w:trPr>
        <w:tc>
          <w:tcPr>
            <w:tcW w:w="2682" w:type="dxa"/>
            <w:vMerge/>
            <w:shd w:val="clear" w:color="auto" w:fill="auto"/>
          </w:tcPr>
          <w:p w14:paraId="2DF9158F" w14:textId="77777777" w:rsidR="007D3B9A" w:rsidRPr="00E54DA2" w:rsidRDefault="007D3B9A" w:rsidP="008B29EA">
            <w:pPr>
              <w:rPr>
                <w:rFonts w:cstheme="minorHAnsi"/>
                <w:b/>
                <w:bCs/>
              </w:rPr>
            </w:pPr>
          </w:p>
        </w:tc>
        <w:tc>
          <w:tcPr>
            <w:tcW w:w="1278" w:type="dxa"/>
            <w:shd w:val="clear" w:color="auto" w:fill="auto"/>
          </w:tcPr>
          <w:p w14:paraId="47BCE784" w14:textId="77777777" w:rsidR="007D3B9A" w:rsidRPr="00E54DA2" w:rsidRDefault="007D3B9A" w:rsidP="008B29EA">
            <w:pPr>
              <w:rPr>
                <w:rFonts w:cstheme="minorHAnsi"/>
                <w:b/>
                <w:bCs/>
              </w:rPr>
            </w:pPr>
            <w:r w:rsidRPr="00E54DA2">
              <w:rPr>
                <w:rFonts w:cstheme="minorHAnsi"/>
                <w:b/>
                <w:bCs/>
              </w:rPr>
              <w:t>1M+</w:t>
            </w:r>
          </w:p>
        </w:tc>
        <w:tc>
          <w:tcPr>
            <w:tcW w:w="3737" w:type="dxa"/>
            <w:shd w:val="clear" w:color="auto" w:fill="auto"/>
          </w:tcPr>
          <w:p w14:paraId="350A8141" w14:textId="77777777" w:rsidR="007D3B9A" w:rsidRPr="00E54DA2" w:rsidRDefault="007D3B9A" w:rsidP="008B29EA">
            <w:pPr>
              <w:rPr>
                <w:rFonts w:cstheme="minorHAnsi"/>
                <w:b/>
                <w:bCs/>
              </w:rPr>
            </w:pPr>
            <w:r w:rsidRPr="00E54DA2">
              <w:rPr>
                <w:rFonts w:cstheme="minorHAnsi"/>
                <w:b/>
                <w:bCs/>
              </w:rPr>
              <w:t xml:space="preserve">Requires full technical project plan </w:t>
            </w:r>
          </w:p>
        </w:tc>
      </w:tr>
    </w:tbl>
    <w:p w14:paraId="48D90981" w14:textId="77777777" w:rsidR="0019141C" w:rsidRDefault="0019141C" w:rsidP="007D3B9A">
      <w:pPr>
        <w:jc w:val="center"/>
        <w:rPr>
          <w:rFonts w:cstheme="minorHAnsi"/>
          <w:b/>
          <w:bCs/>
          <w:u w:val="single"/>
        </w:rPr>
      </w:pPr>
    </w:p>
    <w:p w14:paraId="55446B1B" w14:textId="0ACBD5E3" w:rsidR="007D3B9A" w:rsidRPr="00E54DA2" w:rsidRDefault="007D3B9A" w:rsidP="007D3B9A">
      <w:pPr>
        <w:jc w:val="center"/>
        <w:rPr>
          <w:rFonts w:cstheme="minorHAnsi"/>
          <w:b/>
          <w:bCs/>
          <w:u w:val="single"/>
        </w:rPr>
      </w:pPr>
      <w:r>
        <w:rPr>
          <w:rFonts w:cstheme="minorHAnsi"/>
          <w:b/>
          <w:bCs/>
          <w:u w:val="single"/>
        </w:rPr>
        <w:t>Data Massaging &amp; Import</w:t>
      </w:r>
      <w:r w:rsidRPr="00E54DA2">
        <w:rPr>
          <w:rFonts w:cstheme="minorHAnsi"/>
          <w:b/>
          <w:bCs/>
          <w:u w:val="single"/>
        </w:rPr>
        <w:t xml:space="preserve"> Fees</w:t>
      </w:r>
    </w:p>
    <w:p w14:paraId="3CCDDA61" w14:textId="494E81DD" w:rsidR="007D3B9A" w:rsidRDefault="007D3B9A" w:rsidP="007D3B9A">
      <w:pPr>
        <w:rPr>
          <w:rFonts w:cstheme="minorHAnsi"/>
        </w:rPr>
      </w:pPr>
      <w:r>
        <w:rPr>
          <w:rFonts w:cstheme="minorHAnsi"/>
        </w:rPr>
        <w:t>Forte charges $150 per hour for massaging data which includes data cleansing, parsing, formatting a</w:t>
      </w:r>
      <w:r w:rsidR="00F96875">
        <w:rPr>
          <w:rFonts w:cstheme="minorHAnsi"/>
        </w:rPr>
        <w:t xml:space="preserve">s well as </w:t>
      </w:r>
      <w:r>
        <w:rPr>
          <w:rFonts w:cstheme="minorHAnsi"/>
        </w:rPr>
        <w:t>system import</w:t>
      </w:r>
      <w:r w:rsidR="00F96875">
        <w:rPr>
          <w:rFonts w:cstheme="minorHAnsi"/>
        </w:rPr>
        <w:t xml:space="preserve"> and tokenization</w:t>
      </w:r>
      <w:r>
        <w:rPr>
          <w:rFonts w:cstheme="minorHAnsi"/>
        </w:rPr>
        <w:t xml:space="preserve">. Below is a general guideline for the associated fee. Forte will track time using an internal tool to provide the customer a final amount that will be invoiced. </w:t>
      </w:r>
    </w:p>
    <w:p w14:paraId="63D8D99E" w14:textId="77777777" w:rsidR="0019141C" w:rsidRPr="0019141C" w:rsidRDefault="0019141C" w:rsidP="007D3B9A">
      <w:pPr>
        <w:rPr>
          <w:rFonts w:cstheme="minorHAnsi"/>
          <w:sz w:val="8"/>
          <w:szCs w:val="8"/>
        </w:rPr>
      </w:pPr>
    </w:p>
    <w:tbl>
      <w:tblPr>
        <w:tblStyle w:val="TableGrid"/>
        <w:tblW w:w="8523" w:type="dxa"/>
        <w:tblInd w:w="827" w:type="dxa"/>
        <w:tblLook w:val="04A0" w:firstRow="1" w:lastRow="0" w:firstColumn="1" w:lastColumn="0" w:noHBand="0" w:noVBand="1"/>
      </w:tblPr>
      <w:tblGrid>
        <w:gridCol w:w="1512"/>
        <w:gridCol w:w="3304"/>
        <w:gridCol w:w="3707"/>
      </w:tblGrid>
      <w:tr w:rsidR="007D3B9A" w:rsidRPr="00E54DA2" w14:paraId="08649D3C" w14:textId="77777777" w:rsidTr="008B29EA">
        <w:trPr>
          <w:trHeight w:val="498"/>
        </w:trPr>
        <w:tc>
          <w:tcPr>
            <w:tcW w:w="1512" w:type="dxa"/>
            <w:shd w:val="clear" w:color="auto" w:fill="BFBFBF" w:themeFill="background1" w:themeFillShade="BF"/>
          </w:tcPr>
          <w:p w14:paraId="403F8079" w14:textId="77777777" w:rsidR="007D3B9A" w:rsidRPr="00E54DA2" w:rsidRDefault="007D3B9A" w:rsidP="008B29EA">
            <w:pPr>
              <w:jc w:val="center"/>
              <w:rPr>
                <w:rFonts w:cstheme="minorHAnsi"/>
                <w:b/>
                <w:bCs/>
              </w:rPr>
            </w:pPr>
            <w:r w:rsidRPr="00E54DA2">
              <w:rPr>
                <w:rFonts w:cstheme="minorHAnsi"/>
                <w:b/>
                <w:bCs/>
              </w:rPr>
              <w:t>Volume</w:t>
            </w:r>
          </w:p>
        </w:tc>
        <w:tc>
          <w:tcPr>
            <w:tcW w:w="3304" w:type="dxa"/>
            <w:shd w:val="clear" w:color="auto" w:fill="BFBFBF" w:themeFill="background1" w:themeFillShade="BF"/>
          </w:tcPr>
          <w:p w14:paraId="5F307580" w14:textId="77777777" w:rsidR="007D3B9A" w:rsidRPr="00E54DA2" w:rsidRDefault="007D3B9A" w:rsidP="008B29EA">
            <w:pPr>
              <w:jc w:val="center"/>
              <w:rPr>
                <w:rFonts w:cstheme="minorHAnsi"/>
                <w:b/>
                <w:bCs/>
              </w:rPr>
            </w:pPr>
            <w:r>
              <w:rPr>
                <w:rFonts w:cstheme="minorHAnsi"/>
                <w:b/>
                <w:bCs/>
              </w:rPr>
              <w:t xml:space="preserve">Estimated Import Hours </w:t>
            </w:r>
          </w:p>
        </w:tc>
        <w:tc>
          <w:tcPr>
            <w:tcW w:w="3707" w:type="dxa"/>
            <w:shd w:val="clear" w:color="auto" w:fill="BFBFBF" w:themeFill="background1" w:themeFillShade="BF"/>
          </w:tcPr>
          <w:p w14:paraId="61189DA5" w14:textId="77777777" w:rsidR="007D3B9A" w:rsidRPr="00E54DA2" w:rsidRDefault="007D3B9A" w:rsidP="008B29EA">
            <w:pPr>
              <w:jc w:val="center"/>
              <w:rPr>
                <w:rFonts w:cstheme="minorHAnsi"/>
                <w:b/>
                <w:bCs/>
              </w:rPr>
            </w:pPr>
            <w:r w:rsidRPr="00E54DA2">
              <w:rPr>
                <w:rFonts w:cstheme="minorHAnsi"/>
                <w:b/>
                <w:bCs/>
              </w:rPr>
              <w:t xml:space="preserve">Estimated </w:t>
            </w:r>
            <w:r>
              <w:rPr>
                <w:rFonts w:cstheme="minorHAnsi"/>
                <w:b/>
                <w:bCs/>
              </w:rPr>
              <w:t>Fee</w:t>
            </w:r>
          </w:p>
        </w:tc>
      </w:tr>
      <w:tr w:rsidR="007D3B9A" w:rsidRPr="00E54DA2" w14:paraId="0FF98B9A" w14:textId="77777777" w:rsidTr="008B29EA">
        <w:trPr>
          <w:trHeight w:val="512"/>
        </w:trPr>
        <w:tc>
          <w:tcPr>
            <w:tcW w:w="1512" w:type="dxa"/>
            <w:shd w:val="clear" w:color="auto" w:fill="auto"/>
          </w:tcPr>
          <w:p w14:paraId="16F0B58E" w14:textId="77777777" w:rsidR="007D3B9A" w:rsidRPr="00E54DA2" w:rsidRDefault="007D3B9A" w:rsidP="008B29EA">
            <w:pPr>
              <w:rPr>
                <w:rFonts w:cstheme="minorHAnsi"/>
                <w:b/>
                <w:bCs/>
              </w:rPr>
            </w:pPr>
            <w:r w:rsidRPr="00E54DA2">
              <w:rPr>
                <w:rFonts w:cstheme="minorHAnsi"/>
                <w:b/>
                <w:bCs/>
              </w:rPr>
              <w:t>Up to 100,000</w:t>
            </w:r>
          </w:p>
        </w:tc>
        <w:tc>
          <w:tcPr>
            <w:tcW w:w="3304" w:type="dxa"/>
          </w:tcPr>
          <w:p w14:paraId="2B71C940" w14:textId="77777777" w:rsidR="007D3B9A" w:rsidRPr="00E54DA2" w:rsidRDefault="007D3B9A" w:rsidP="008B29EA">
            <w:pPr>
              <w:rPr>
                <w:rFonts w:cstheme="minorHAnsi"/>
                <w:b/>
                <w:bCs/>
              </w:rPr>
            </w:pPr>
            <w:r>
              <w:rPr>
                <w:rFonts w:cstheme="minorHAnsi"/>
                <w:b/>
                <w:bCs/>
              </w:rPr>
              <w:t>12 - 15 Business Hours</w:t>
            </w:r>
          </w:p>
        </w:tc>
        <w:tc>
          <w:tcPr>
            <w:tcW w:w="3707" w:type="dxa"/>
            <w:shd w:val="clear" w:color="auto" w:fill="auto"/>
          </w:tcPr>
          <w:p w14:paraId="47426CB9" w14:textId="77777777" w:rsidR="007D3B9A" w:rsidRPr="00E54DA2" w:rsidRDefault="007D3B9A" w:rsidP="008B29EA">
            <w:pPr>
              <w:rPr>
                <w:rFonts w:cstheme="minorHAnsi"/>
                <w:b/>
                <w:bCs/>
              </w:rPr>
            </w:pPr>
            <w:r>
              <w:rPr>
                <w:rFonts w:cstheme="minorHAnsi"/>
                <w:b/>
                <w:bCs/>
              </w:rPr>
              <w:t>$1,800 to $2,250</w:t>
            </w:r>
          </w:p>
          <w:p w14:paraId="5A51D231" w14:textId="77777777" w:rsidR="007D3B9A" w:rsidRPr="00E54DA2" w:rsidRDefault="007D3B9A" w:rsidP="008B29EA">
            <w:pPr>
              <w:rPr>
                <w:rFonts w:cstheme="minorHAnsi"/>
                <w:b/>
                <w:bCs/>
              </w:rPr>
            </w:pPr>
          </w:p>
        </w:tc>
      </w:tr>
      <w:tr w:rsidR="007D3B9A" w:rsidRPr="00E54DA2" w14:paraId="253A5AB0" w14:textId="77777777" w:rsidTr="008B29EA">
        <w:trPr>
          <w:trHeight w:val="512"/>
        </w:trPr>
        <w:tc>
          <w:tcPr>
            <w:tcW w:w="1512" w:type="dxa"/>
            <w:shd w:val="clear" w:color="auto" w:fill="auto"/>
          </w:tcPr>
          <w:p w14:paraId="736D58B3" w14:textId="77777777" w:rsidR="007D3B9A" w:rsidRPr="00E54DA2" w:rsidRDefault="007D3B9A" w:rsidP="008B29EA">
            <w:pPr>
              <w:rPr>
                <w:rFonts w:cstheme="minorHAnsi"/>
                <w:b/>
                <w:bCs/>
              </w:rPr>
            </w:pPr>
            <w:r w:rsidRPr="00E54DA2">
              <w:rPr>
                <w:rFonts w:cstheme="minorHAnsi"/>
                <w:b/>
                <w:bCs/>
              </w:rPr>
              <w:t>Up to 250,000</w:t>
            </w:r>
          </w:p>
        </w:tc>
        <w:tc>
          <w:tcPr>
            <w:tcW w:w="3304" w:type="dxa"/>
          </w:tcPr>
          <w:p w14:paraId="44F0CF5A" w14:textId="77777777" w:rsidR="007D3B9A" w:rsidRDefault="007D3B9A" w:rsidP="008B29EA">
            <w:pPr>
              <w:rPr>
                <w:rFonts w:cstheme="minorHAnsi"/>
                <w:b/>
                <w:bCs/>
              </w:rPr>
            </w:pPr>
            <w:r>
              <w:rPr>
                <w:rFonts w:cstheme="minorHAnsi"/>
                <w:b/>
                <w:bCs/>
              </w:rPr>
              <w:t>30 – 40 Business Hours</w:t>
            </w:r>
          </w:p>
        </w:tc>
        <w:tc>
          <w:tcPr>
            <w:tcW w:w="3707" w:type="dxa"/>
            <w:shd w:val="clear" w:color="auto" w:fill="auto"/>
          </w:tcPr>
          <w:p w14:paraId="654F8124" w14:textId="77777777" w:rsidR="007D3B9A" w:rsidRPr="00E54DA2" w:rsidRDefault="007D3B9A" w:rsidP="008B29EA">
            <w:pPr>
              <w:rPr>
                <w:rFonts w:cstheme="minorHAnsi"/>
                <w:b/>
                <w:bCs/>
              </w:rPr>
            </w:pPr>
            <w:r>
              <w:rPr>
                <w:rFonts w:cstheme="minorHAnsi"/>
                <w:b/>
                <w:bCs/>
              </w:rPr>
              <w:t>$4,500 to $6,000</w:t>
            </w:r>
          </w:p>
          <w:p w14:paraId="361A2CED" w14:textId="77777777" w:rsidR="007D3B9A" w:rsidRPr="00E54DA2" w:rsidRDefault="007D3B9A" w:rsidP="008B29EA">
            <w:pPr>
              <w:rPr>
                <w:rFonts w:cstheme="minorHAnsi"/>
                <w:b/>
                <w:bCs/>
              </w:rPr>
            </w:pPr>
          </w:p>
        </w:tc>
      </w:tr>
      <w:tr w:rsidR="007D3B9A" w:rsidRPr="00E54DA2" w14:paraId="138C1542" w14:textId="77777777" w:rsidTr="008B29EA">
        <w:trPr>
          <w:trHeight w:val="526"/>
        </w:trPr>
        <w:tc>
          <w:tcPr>
            <w:tcW w:w="1512" w:type="dxa"/>
            <w:shd w:val="clear" w:color="auto" w:fill="auto"/>
          </w:tcPr>
          <w:p w14:paraId="4AB5DC91" w14:textId="77777777" w:rsidR="007D3B9A" w:rsidRPr="00E54DA2" w:rsidRDefault="007D3B9A" w:rsidP="008B29EA">
            <w:pPr>
              <w:rPr>
                <w:rFonts w:cstheme="minorHAnsi"/>
                <w:b/>
                <w:bCs/>
              </w:rPr>
            </w:pPr>
            <w:r w:rsidRPr="00E54DA2">
              <w:rPr>
                <w:rFonts w:cstheme="minorHAnsi"/>
                <w:b/>
                <w:bCs/>
              </w:rPr>
              <w:t>UP to 500,000</w:t>
            </w:r>
          </w:p>
        </w:tc>
        <w:tc>
          <w:tcPr>
            <w:tcW w:w="3304" w:type="dxa"/>
          </w:tcPr>
          <w:p w14:paraId="3DDB7D38" w14:textId="77777777" w:rsidR="007D3B9A" w:rsidRPr="00E54DA2" w:rsidRDefault="007D3B9A" w:rsidP="008B29EA">
            <w:pPr>
              <w:rPr>
                <w:rFonts w:cstheme="minorHAnsi"/>
                <w:b/>
                <w:bCs/>
              </w:rPr>
            </w:pPr>
            <w:r>
              <w:rPr>
                <w:rFonts w:cstheme="minorHAnsi"/>
                <w:b/>
                <w:bCs/>
              </w:rPr>
              <w:t>60 – 80 Business Hours</w:t>
            </w:r>
          </w:p>
        </w:tc>
        <w:tc>
          <w:tcPr>
            <w:tcW w:w="3707" w:type="dxa"/>
            <w:shd w:val="clear" w:color="auto" w:fill="auto"/>
          </w:tcPr>
          <w:p w14:paraId="285F9F51" w14:textId="27E001EA" w:rsidR="007D3B9A" w:rsidRPr="00E54DA2" w:rsidRDefault="007D3B9A" w:rsidP="008B29EA">
            <w:pPr>
              <w:rPr>
                <w:rFonts w:cstheme="minorHAnsi"/>
                <w:b/>
                <w:bCs/>
              </w:rPr>
            </w:pPr>
            <w:r>
              <w:rPr>
                <w:rFonts w:cstheme="minorHAnsi"/>
                <w:b/>
                <w:bCs/>
              </w:rPr>
              <w:t>$9,000 to $</w:t>
            </w:r>
            <w:r w:rsidR="005020ED">
              <w:rPr>
                <w:rFonts w:cstheme="minorHAnsi"/>
                <w:b/>
                <w:bCs/>
              </w:rPr>
              <w:t>12,000</w:t>
            </w:r>
          </w:p>
          <w:p w14:paraId="776FB552" w14:textId="77777777" w:rsidR="007D3B9A" w:rsidRPr="00E54DA2" w:rsidRDefault="007D3B9A" w:rsidP="008B29EA">
            <w:pPr>
              <w:rPr>
                <w:rFonts w:cstheme="minorHAnsi"/>
                <w:b/>
                <w:bCs/>
              </w:rPr>
            </w:pPr>
          </w:p>
        </w:tc>
      </w:tr>
      <w:tr w:rsidR="007D3B9A" w:rsidRPr="00E54DA2" w14:paraId="28E8C942" w14:textId="77777777" w:rsidTr="008B29EA">
        <w:trPr>
          <w:trHeight w:val="512"/>
        </w:trPr>
        <w:tc>
          <w:tcPr>
            <w:tcW w:w="1512" w:type="dxa"/>
            <w:shd w:val="clear" w:color="auto" w:fill="auto"/>
          </w:tcPr>
          <w:p w14:paraId="0018523B" w14:textId="77777777" w:rsidR="007D3B9A" w:rsidRPr="00E54DA2" w:rsidRDefault="007D3B9A" w:rsidP="008B29EA">
            <w:pPr>
              <w:rPr>
                <w:rFonts w:cstheme="minorHAnsi"/>
                <w:b/>
                <w:bCs/>
              </w:rPr>
            </w:pPr>
            <w:r w:rsidRPr="00E54DA2">
              <w:rPr>
                <w:rFonts w:cstheme="minorHAnsi"/>
                <w:b/>
                <w:bCs/>
              </w:rPr>
              <w:t>1M+</w:t>
            </w:r>
          </w:p>
        </w:tc>
        <w:tc>
          <w:tcPr>
            <w:tcW w:w="3304" w:type="dxa"/>
          </w:tcPr>
          <w:p w14:paraId="40175F53" w14:textId="77777777" w:rsidR="007D3B9A" w:rsidRPr="00E54DA2" w:rsidRDefault="007D3B9A" w:rsidP="008B29EA">
            <w:pPr>
              <w:rPr>
                <w:rFonts w:cstheme="minorHAnsi"/>
                <w:b/>
                <w:bCs/>
              </w:rPr>
            </w:pPr>
            <w:r>
              <w:rPr>
                <w:rFonts w:cstheme="minorHAnsi"/>
                <w:b/>
                <w:bCs/>
              </w:rPr>
              <w:t>TBD</w:t>
            </w:r>
          </w:p>
        </w:tc>
        <w:tc>
          <w:tcPr>
            <w:tcW w:w="3707" w:type="dxa"/>
            <w:shd w:val="clear" w:color="auto" w:fill="auto"/>
          </w:tcPr>
          <w:p w14:paraId="5BB0CE57" w14:textId="77777777" w:rsidR="007D3B9A" w:rsidRPr="00E54DA2" w:rsidRDefault="007D3B9A" w:rsidP="008B29EA">
            <w:pPr>
              <w:rPr>
                <w:rFonts w:cstheme="minorHAnsi"/>
                <w:b/>
                <w:bCs/>
              </w:rPr>
            </w:pPr>
            <w:r w:rsidRPr="00E54DA2">
              <w:rPr>
                <w:rFonts w:cstheme="minorHAnsi"/>
                <w:b/>
                <w:bCs/>
              </w:rPr>
              <w:t xml:space="preserve">Requires full technical project plan </w:t>
            </w:r>
          </w:p>
        </w:tc>
      </w:tr>
    </w:tbl>
    <w:p w14:paraId="057DA0CD" w14:textId="7B3FF1D6" w:rsidR="007D3B9A" w:rsidRPr="002575D7" w:rsidRDefault="007D3B9A" w:rsidP="007D3B9A">
      <w:pPr>
        <w:rPr>
          <w:rFonts w:cstheme="minorHAnsi"/>
        </w:rPr>
      </w:pPr>
      <w:r>
        <w:rPr>
          <w:rFonts w:cstheme="minorHAnsi"/>
        </w:rPr>
        <w:t>*Estimates based upon data with average data massaging needs, imports that have extensive errors and formatting issues may require additional time.</w:t>
      </w:r>
    </w:p>
    <w:p w14:paraId="483BFC9F" w14:textId="519C072D" w:rsidR="00144903" w:rsidRPr="00144903" w:rsidRDefault="00144903" w:rsidP="00144903">
      <w:pPr>
        <w:jc w:val="center"/>
        <w:rPr>
          <w:rFonts w:cstheme="minorHAnsi"/>
          <w:b/>
          <w:bCs/>
          <w:u w:val="single"/>
        </w:rPr>
      </w:pPr>
      <w:r>
        <w:rPr>
          <w:rFonts w:cstheme="minorHAnsi"/>
          <w:b/>
          <w:bCs/>
          <w:u w:val="single"/>
        </w:rPr>
        <w:lastRenderedPageBreak/>
        <w:t>Additional Information</w:t>
      </w:r>
    </w:p>
    <w:p w14:paraId="5C76059C" w14:textId="32BB331A" w:rsidR="007D3B9A" w:rsidRPr="004D3E58" w:rsidRDefault="00144903" w:rsidP="007D3B9A">
      <w:pPr>
        <w:rPr>
          <w:rFonts w:cstheme="minorHAnsi"/>
          <w:b/>
        </w:rPr>
      </w:pPr>
      <w:r>
        <w:rPr>
          <w:rFonts w:cstheme="minorHAnsi"/>
          <w:b/>
        </w:rPr>
        <w:t>Special Considerations</w:t>
      </w:r>
    </w:p>
    <w:p w14:paraId="202B2A0F" w14:textId="4783A1DF" w:rsidR="00A22E8F" w:rsidRDefault="00A22E8F" w:rsidP="00A22E8F">
      <w:pPr>
        <w:pStyle w:val="ListParagraph"/>
        <w:numPr>
          <w:ilvl w:val="0"/>
          <w:numId w:val="2"/>
        </w:numPr>
        <w:rPr>
          <w:rFonts w:cstheme="minorHAnsi"/>
        </w:rPr>
      </w:pPr>
      <w:r>
        <w:rPr>
          <w:rFonts w:cstheme="minorHAnsi"/>
        </w:rPr>
        <w:t xml:space="preserve">REST tokens can only be used in our REST platform, SOAP tokens can be used in </w:t>
      </w:r>
      <w:proofErr w:type="gramStart"/>
      <w:r>
        <w:rPr>
          <w:rFonts w:cstheme="minorHAnsi"/>
        </w:rPr>
        <w:t>all of</w:t>
      </w:r>
      <w:proofErr w:type="gramEnd"/>
      <w:r>
        <w:rPr>
          <w:rFonts w:cstheme="minorHAnsi"/>
        </w:rPr>
        <w:t xml:space="preserve"> our APIs.</w:t>
      </w:r>
    </w:p>
    <w:p w14:paraId="0E7EEC57" w14:textId="7379CB4E" w:rsidR="00A22E8F" w:rsidRDefault="00A22E8F" w:rsidP="00A22E8F">
      <w:pPr>
        <w:pStyle w:val="ListParagraph"/>
        <w:numPr>
          <w:ilvl w:val="1"/>
          <w:numId w:val="2"/>
        </w:numPr>
        <w:rPr>
          <w:rFonts w:cstheme="minorHAnsi"/>
        </w:rPr>
      </w:pPr>
      <w:r>
        <w:rPr>
          <w:rFonts w:cstheme="minorHAnsi"/>
        </w:rPr>
        <w:t xml:space="preserve">Payment and Customer tokens created via REST API are not viewable in the Virtual Terminal. </w:t>
      </w:r>
    </w:p>
    <w:p w14:paraId="3471F073" w14:textId="38B10914" w:rsidR="00A22E8F" w:rsidRDefault="00A22E8F" w:rsidP="00A22E8F">
      <w:pPr>
        <w:pStyle w:val="ListParagraph"/>
        <w:numPr>
          <w:ilvl w:val="1"/>
          <w:numId w:val="2"/>
        </w:numPr>
        <w:rPr>
          <w:rFonts w:cstheme="minorHAnsi"/>
        </w:rPr>
      </w:pPr>
      <w:r>
        <w:rPr>
          <w:rFonts w:cstheme="minorHAnsi"/>
        </w:rPr>
        <w:t xml:space="preserve">Payment and Customer tokens created via SOAP API are viewable in both our </w:t>
      </w:r>
      <w:proofErr w:type="spellStart"/>
      <w:r>
        <w:rPr>
          <w:rFonts w:cstheme="minorHAnsi"/>
        </w:rPr>
        <w:t>Dex</w:t>
      </w:r>
      <w:proofErr w:type="spellEnd"/>
      <w:r>
        <w:rPr>
          <w:rFonts w:cstheme="minorHAnsi"/>
        </w:rPr>
        <w:t xml:space="preserve"> and Virtual Terminal platforms</w:t>
      </w:r>
    </w:p>
    <w:p w14:paraId="4EC480CD" w14:textId="7CC7CAF5" w:rsidR="007D3B9A" w:rsidRDefault="007D3B9A" w:rsidP="007D3B9A">
      <w:pPr>
        <w:pStyle w:val="ListParagraph"/>
        <w:numPr>
          <w:ilvl w:val="0"/>
          <w:numId w:val="2"/>
        </w:numPr>
        <w:rPr>
          <w:rFonts w:cstheme="minorHAnsi"/>
        </w:rPr>
      </w:pPr>
      <w:r w:rsidRPr="004D3E58">
        <w:rPr>
          <w:rFonts w:cstheme="minorHAnsi"/>
        </w:rPr>
        <w:t>The Virtual Terminal does not currently support address validatio</w:t>
      </w:r>
      <w:r w:rsidR="005020ED">
        <w:rPr>
          <w:rFonts w:cstheme="minorHAnsi"/>
        </w:rPr>
        <w:t>n</w:t>
      </w:r>
    </w:p>
    <w:p w14:paraId="5F2D1888" w14:textId="051E41AC" w:rsidR="007D3B9A" w:rsidRPr="004D3E58" w:rsidRDefault="007D3B9A" w:rsidP="007D3B9A">
      <w:pPr>
        <w:pStyle w:val="ListParagraph"/>
        <w:numPr>
          <w:ilvl w:val="0"/>
          <w:numId w:val="2"/>
        </w:numPr>
        <w:rPr>
          <w:rFonts w:cstheme="minorHAnsi"/>
        </w:rPr>
      </w:pPr>
      <w:r w:rsidRPr="004D3E58">
        <w:rPr>
          <w:rFonts w:cstheme="minorHAnsi"/>
        </w:rPr>
        <w:t>Schedules are not included in the import</w:t>
      </w:r>
      <w:r w:rsidR="005020ED">
        <w:rPr>
          <w:rFonts w:cstheme="minorHAnsi"/>
        </w:rPr>
        <w:t xml:space="preserve"> – if required additional scoping and fees may be required.</w:t>
      </w:r>
    </w:p>
    <w:p w14:paraId="536C19A7" w14:textId="3F5ED31E" w:rsidR="007D3B9A" w:rsidRPr="00144903" w:rsidRDefault="00144903" w:rsidP="005020ED">
      <w:pPr>
        <w:jc w:val="center"/>
        <w:rPr>
          <w:rFonts w:cstheme="minorHAnsi"/>
          <w:b/>
          <w:u w:val="single"/>
        </w:rPr>
      </w:pPr>
      <w:r w:rsidRPr="00144903">
        <w:rPr>
          <w:rFonts w:cstheme="minorHAnsi"/>
          <w:b/>
          <w:u w:val="single"/>
        </w:rPr>
        <w:t>Contacts</w:t>
      </w:r>
    </w:p>
    <w:p w14:paraId="4D7B1080" w14:textId="6512AC06" w:rsidR="00144903" w:rsidRDefault="00144903" w:rsidP="00144903">
      <w:pPr>
        <w:rPr>
          <w:rFonts w:cstheme="minorHAnsi"/>
          <w:b/>
        </w:rPr>
      </w:pPr>
      <w:r>
        <w:rPr>
          <w:rFonts w:cstheme="minorHAnsi"/>
          <w:b/>
        </w:rPr>
        <w:t>Integration Team Contact Information</w:t>
      </w:r>
    </w:p>
    <w:p w14:paraId="79780E7E" w14:textId="0194A0C7" w:rsidR="00144903" w:rsidRPr="000E1B84" w:rsidRDefault="00144903" w:rsidP="007D3B9A">
      <w:pPr>
        <w:rPr>
          <w:rFonts w:cstheme="minorHAnsi"/>
          <w:bCs/>
        </w:rPr>
      </w:pPr>
      <w:r w:rsidRPr="000E1B84">
        <w:rPr>
          <w:rFonts w:cstheme="minorHAnsi"/>
          <w:b/>
        </w:rPr>
        <w:t>Consult Request:</w:t>
      </w:r>
      <w:r w:rsidRPr="000E1B84">
        <w:rPr>
          <w:rFonts w:cstheme="minorHAnsi"/>
          <w:bCs/>
        </w:rPr>
        <w:t xml:space="preserve"> </w:t>
      </w:r>
      <w:hyperlink r:id="rId11" w:history="1">
        <w:r w:rsidR="001F386F" w:rsidRPr="00DD5497">
          <w:rPr>
            <w:rStyle w:val="Hyperlink"/>
          </w:rPr>
          <w:t>integration@forte.net</w:t>
        </w:r>
      </w:hyperlink>
      <w:r w:rsidR="001F386F">
        <w:t xml:space="preserve"> </w:t>
      </w:r>
      <w:r w:rsidRPr="000E1B84">
        <w:rPr>
          <w:rFonts w:cstheme="minorHAnsi"/>
          <w:bCs/>
        </w:rPr>
        <w:tab/>
      </w:r>
      <w:r w:rsidRPr="000E1B84">
        <w:rPr>
          <w:rFonts w:cstheme="minorHAnsi"/>
          <w:bCs/>
        </w:rPr>
        <w:tab/>
      </w:r>
      <w:r w:rsidRPr="000E1B84">
        <w:rPr>
          <w:rFonts w:cstheme="minorHAnsi"/>
          <w:b/>
        </w:rPr>
        <w:t>Technical Support:</w:t>
      </w:r>
      <w:r w:rsidRPr="000E1B84">
        <w:rPr>
          <w:rFonts w:cstheme="minorHAnsi"/>
          <w:bCs/>
        </w:rPr>
        <w:t xml:space="preserve"> </w:t>
      </w:r>
      <w:hyperlink r:id="rId12" w:history="1">
        <w:r w:rsidRPr="000E1B84">
          <w:rPr>
            <w:rStyle w:val="Hyperlink"/>
            <w:rFonts w:cstheme="minorHAnsi"/>
            <w:bCs/>
          </w:rPr>
          <w:t>Integration@forte.net</w:t>
        </w:r>
      </w:hyperlink>
      <w:r w:rsidRPr="000E1B84">
        <w:rPr>
          <w:rFonts w:cstheme="minorHAnsi"/>
          <w:bCs/>
        </w:rPr>
        <w:t xml:space="preserve"> </w:t>
      </w:r>
    </w:p>
    <w:p w14:paraId="75029A27" w14:textId="1BFFCCC1" w:rsidR="00144903" w:rsidRPr="000E1B84" w:rsidRDefault="00144903" w:rsidP="00144903">
      <w:pPr>
        <w:rPr>
          <w:rFonts w:cstheme="minorHAnsi"/>
          <w:bCs/>
        </w:rPr>
      </w:pPr>
      <w:r w:rsidRPr="000E1B84">
        <w:rPr>
          <w:rFonts w:cstheme="minorHAnsi"/>
          <w:b/>
        </w:rPr>
        <w:t>Support Portal:</w:t>
      </w:r>
      <w:r w:rsidRPr="000E1B84">
        <w:rPr>
          <w:rFonts w:cstheme="minorHAnsi"/>
          <w:bCs/>
        </w:rPr>
        <w:t xml:space="preserve"> </w:t>
      </w:r>
      <w:hyperlink r:id="rId13" w:history="1">
        <w:r w:rsidRPr="000E1B84">
          <w:rPr>
            <w:rStyle w:val="Hyperlink"/>
            <w:rFonts w:cstheme="minorHAnsi"/>
            <w:bCs/>
          </w:rPr>
          <w:t>https://support.forte.net</w:t>
        </w:r>
      </w:hyperlink>
      <w:r w:rsidRPr="000E1B84">
        <w:rPr>
          <w:rFonts w:cstheme="minorHAnsi"/>
          <w:bCs/>
        </w:rPr>
        <w:t xml:space="preserve"> </w:t>
      </w:r>
      <w:r w:rsidRPr="000E1B84">
        <w:rPr>
          <w:rFonts w:cstheme="minorHAnsi"/>
          <w:bCs/>
        </w:rPr>
        <w:tab/>
      </w:r>
      <w:r w:rsidRPr="000E1B84">
        <w:rPr>
          <w:rFonts w:cstheme="minorHAnsi"/>
          <w:bCs/>
        </w:rPr>
        <w:tab/>
      </w:r>
      <w:r w:rsidRPr="000E1B84">
        <w:rPr>
          <w:rFonts w:cstheme="minorHAnsi"/>
          <w:b/>
        </w:rPr>
        <w:t>Phone:</w:t>
      </w:r>
      <w:r w:rsidRPr="000E1B84">
        <w:rPr>
          <w:rFonts w:cstheme="minorHAnsi"/>
          <w:bCs/>
        </w:rPr>
        <w:t xml:space="preserve"> (866) 290-5400, Option 5</w:t>
      </w:r>
    </w:p>
    <w:p w14:paraId="06B79A5D" w14:textId="4CA9975C" w:rsidR="005020ED" w:rsidRDefault="005020ED" w:rsidP="007D3B9A">
      <w:pPr>
        <w:rPr>
          <w:rFonts w:cstheme="minorHAnsi"/>
        </w:rPr>
      </w:pPr>
    </w:p>
    <w:p w14:paraId="21207965" w14:textId="2B547437" w:rsidR="005020ED" w:rsidRPr="005020ED" w:rsidRDefault="005020ED" w:rsidP="007D3B9A">
      <w:pPr>
        <w:rPr>
          <w:rFonts w:cstheme="minorHAnsi"/>
          <w:b/>
          <w:bCs/>
        </w:rPr>
      </w:pPr>
      <w:r w:rsidRPr="005020ED">
        <w:rPr>
          <w:rFonts w:cstheme="minorHAnsi"/>
          <w:b/>
          <w:bCs/>
        </w:rPr>
        <w:t>Escalation Contacts</w:t>
      </w:r>
    </w:p>
    <w:p w14:paraId="7520ECE3" w14:textId="74CA0F3D" w:rsidR="007D3B9A" w:rsidRPr="004D3E58" w:rsidRDefault="007D3B9A" w:rsidP="007D3B9A">
      <w:pPr>
        <w:rPr>
          <w:rFonts w:cstheme="minorHAnsi"/>
        </w:rPr>
      </w:pPr>
      <w:r w:rsidRPr="004D3E58">
        <w:rPr>
          <w:rFonts w:cstheme="minorHAnsi"/>
        </w:rPr>
        <w:t>Any issues related to the import/export project that cannot be resolved by the Technical Support rep it can be escalated to the following:</w:t>
      </w:r>
    </w:p>
    <w:p w14:paraId="0B2CBCC6" w14:textId="71A05CB1" w:rsidR="007D3B9A" w:rsidRPr="00A8247A" w:rsidRDefault="00A8247A" w:rsidP="007D3B9A">
      <w:pPr>
        <w:pStyle w:val="ListParagraph"/>
        <w:numPr>
          <w:ilvl w:val="0"/>
          <w:numId w:val="5"/>
        </w:numPr>
        <w:rPr>
          <w:rFonts w:cstheme="minorHAnsi"/>
          <w:b/>
          <w:bCs/>
        </w:rPr>
      </w:pPr>
      <w:r w:rsidRPr="00A8247A">
        <w:rPr>
          <w:rFonts w:cstheme="minorHAnsi"/>
          <w:b/>
          <w:bCs/>
          <w:color w:val="242424"/>
          <w:shd w:val="clear" w:color="auto" w:fill="FFFFFF"/>
        </w:rPr>
        <w:t>Director Service Desk, Forte Customer Services</w:t>
      </w:r>
    </w:p>
    <w:p w14:paraId="4E52B898" w14:textId="1C600A87" w:rsidR="007D3B9A" w:rsidRPr="004D3E58" w:rsidRDefault="00A8247A" w:rsidP="007D3B9A">
      <w:pPr>
        <w:pStyle w:val="ListParagraph"/>
        <w:numPr>
          <w:ilvl w:val="1"/>
          <w:numId w:val="5"/>
        </w:numPr>
        <w:rPr>
          <w:rFonts w:cstheme="minorHAnsi"/>
        </w:rPr>
      </w:pPr>
      <w:r w:rsidRPr="00A8247A">
        <w:rPr>
          <w:rFonts w:cstheme="minorHAnsi"/>
        </w:rPr>
        <w:t>Glenda Johnson,</w:t>
      </w:r>
      <w:r w:rsidR="007D3B9A" w:rsidRPr="004D3E58">
        <w:rPr>
          <w:rFonts w:cstheme="minorHAnsi"/>
        </w:rPr>
        <w:t xml:space="preserve"> </w:t>
      </w:r>
      <w:hyperlink r:id="rId14" w:history="1">
        <w:r w:rsidRPr="00B577B1">
          <w:rPr>
            <w:rStyle w:val="Hyperlink"/>
            <w:rFonts w:cstheme="minorHAnsi"/>
          </w:rPr>
          <w:t>Glenda.Johnson@csgi.com</w:t>
        </w:r>
      </w:hyperlink>
      <w:r>
        <w:rPr>
          <w:rFonts w:cstheme="minorHAnsi"/>
        </w:rPr>
        <w:t xml:space="preserve"> </w:t>
      </w:r>
    </w:p>
    <w:p w14:paraId="56806FB1" w14:textId="2C0340C2" w:rsidR="007D3B9A" w:rsidRPr="005020ED" w:rsidRDefault="00A8247A" w:rsidP="007D3B9A">
      <w:pPr>
        <w:pStyle w:val="ListParagraph"/>
        <w:numPr>
          <w:ilvl w:val="0"/>
          <w:numId w:val="5"/>
        </w:numPr>
        <w:rPr>
          <w:rFonts w:cstheme="minorHAnsi"/>
          <w:b/>
          <w:bCs/>
        </w:rPr>
      </w:pPr>
      <w:r w:rsidRPr="00A8247A">
        <w:rPr>
          <w:rFonts w:cstheme="minorHAnsi"/>
          <w:b/>
          <w:bCs/>
        </w:rPr>
        <w:t>VP Payments Operations, Forte Account Management</w:t>
      </w:r>
    </w:p>
    <w:p w14:paraId="1849B64A" w14:textId="61303A75" w:rsidR="007D3B9A" w:rsidRPr="004D3E58" w:rsidRDefault="00A8247A" w:rsidP="007D3B9A">
      <w:pPr>
        <w:pStyle w:val="ListParagraph"/>
        <w:numPr>
          <w:ilvl w:val="1"/>
          <w:numId w:val="5"/>
        </w:numPr>
        <w:rPr>
          <w:rFonts w:cstheme="minorHAnsi"/>
        </w:rPr>
      </w:pPr>
      <w:r w:rsidRPr="00A8247A">
        <w:rPr>
          <w:rFonts w:cstheme="minorHAnsi"/>
        </w:rPr>
        <w:t xml:space="preserve">Jeanette </w:t>
      </w:r>
      <w:proofErr w:type="spellStart"/>
      <w:r w:rsidRPr="00A8247A">
        <w:rPr>
          <w:rFonts w:cstheme="minorHAnsi"/>
        </w:rPr>
        <w:t>Mbungo</w:t>
      </w:r>
      <w:proofErr w:type="spellEnd"/>
      <w:r>
        <w:rPr>
          <w:rFonts w:cstheme="minorHAnsi"/>
        </w:rPr>
        <w:t xml:space="preserve">, </w:t>
      </w:r>
      <w:hyperlink r:id="rId15" w:history="1">
        <w:r w:rsidRPr="00B577B1">
          <w:rPr>
            <w:rStyle w:val="Hyperlink"/>
            <w:rFonts w:cstheme="minorHAnsi"/>
          </w:rPr>
          <w:t>Jeanette.Mbungo@csgi.com</w:t>
        </w:r>
      </w:hyperlink>
      <w:r>
        <w:rPr>
          <w:rFonts w:cstheme="minorHAnsi"/>
        </w:rPr>
        <w:t xml:space="preserve"> </w:t>
      </w:r>
      <w:r w:rsidR="007D3B9A" w:rsidRPr="004D3E58">
        <w:rPr>
          <w:rFonts w:cstheme="minorHAnsi"/>
        </w:rPr>
        <w:t xml:space="preserve"> </w:t>
      </w:r>
    </w:p>
    <w:p w14:paraId="44C303D2" w14:textId="77777777" w:rsidR="007D3B9A" w:rsidRPr="004D3E58" w:rsidRDefault="007D3B9A" w:rsidP="007D3B9A">
      <w:pPr>
        <w:rPr>
          <w:rFonts w:cstheme="minorHAnsi"/>
        </w:rPr>
      </w:pPr>
    </w:p>
    <w:p w14:paraId="08766097" w14:textId="77777777" w:rsidR="007D3B9A" w:rsidRPr="004D3E58" w:rsidRDefault="007D3B9A" w:rsidP="007D3B9A">
      <w:pPr>
        <w:rPr>
          <w:rFonts w:cstheme="minorHAnsi"/>
        </w:rPr>
      </w:pPr>
    </w:p>
    <w:p w14:paraId="40643767" w14:textId="77777777" w:rsidR="007D3B9A" w:rsidRPr="004D3E58" w:rsidRDefault="007D3B9A" w:rsidP="007D3B9A">
      <w:pPr>
        <w:rPr>
          <w:rFonts w:cstheme="minorHAnsi"/>
        </w:rPr>
      </w:pPr>
    </w:p>
    <w:p w14:paraId="5FAE4D3F" w14:textId="77777777" w:rsidR="007D3B9A" w:rsidRPr="004D3E58" w:rsidRDefault="007D3B9A" w:rsidP="007D3B9A">
      <w:pPr>
        <w:rPr>
          <w:rFonts w:cstheme="minorHAnsi"/>
        </w:rPr>
      </w:pPr>
      <w:bookmarkStart w:id="1" w:name="_Hlk11404775"/>
      <w:r w:rsidRPr="004D3E58">
        <w:rPr>
          <w:rFonts w:cstheme="minorHAnsi"/>
        </w:rPr>
        <w:t xml:space="preserve"> </w:t>
      </w:r>
    </w:p>
    <w:bookmarkEnd w:id="1"/>
    <w:p w14:paraId="3CD65A21" w14:textId="77777777" w:rsidR="007D3B9A" w:rsidRPr="004D3E58" w:rsidRDefault="007D3B9A" w:rsidP="007D3B9A">
      <w:pPr>
        <w:pStyle w:val="ListParagraph"/>
        <w:rPr>
          <w:rFonts w:cstheme="minorHAnsi"/>
        </w:rPr>
      </w:pPr>
    </w:p>
    <w:p w14:paraId="13BAFC1F" w14:textId="77777777" w:rsidR="007921C2" w:rsidRDefault="007921C2"/>
    <w:sectPr w:rsidR="007921C2" w:rsidSect="000E1B84">
      <w:headerReference w:type="default" r:id="rId16"/>
      <w:footerReference w:type="default" r:id="rId17"/>
      <w:pgSz w:w="12240" w:h="15840"/>
      <w:pgMar w:top="1440" w:right="1440" w:bottom="1440" w:left="1440" w:header="720" w:footer="720"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4B75" w14:textId="77777777" w:rsidR="00E92A30" w:rsidRDefault="00E92A30" w:rsidP="00F96875">
      <w:pPr>
        <w:spacing w:after="0" w:line="240" w:lineRule="auto"/>
      </w:pPr>
      <w:r>
        <w:separator/>
      </w:r>
    </w:p>
  </w:endnote>
  <w:endnote w:type="continuationSeparator" w:id="0">
    <w:p w14:paraId="65B69B8D" w14:textId="77777777" w:rsidR="00E92A30" w:rsidRDefault="00E92A30" w:rsidP="00F9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699647"/>
      <w:docPartObj>
        <w:docPartGallery w:val="Page Numbers (Bottom of Page)"/>
        <w:docPartUnique/>
      </w:docPartObj>
    </w:sdtPr>
    <w:sdtContent>
      <w:sdt>
        <w:sdtPr>
          <w:id w:val="-1769616900"/>
          <w:docPartObj>
            <w:docPartGallery w:val="Page Numbers (Top of Page)"/>
            <w:docPartUnique/>
          </w:docPartObj>
        </w:sdtPr>
        <w:sdtContent>
          <w:p w14:paraId="4D578D44" w14:textId="5C4B4F1C" w:rsidR="00132C1E" w:rsidRDefault="00132C1E" w:rsidP="00132C1E">
            <w:pPr>
              <w:pStyle w:val="Footer"/>
              <w:rPr>
                <w:b/>
                <w:bCs/>
                <w:sz w:val="24"/>
                <w:szCs w:val="24"/>
              </w:rPr>
            </w:pPr>
            <w:r w:rsidRPr="00132C1E">
              <w:rPr>
                <w:sz w:val="18"/>
                <w:szCs w:val="18"/>
              </w:rPr>
              <w:t xml:space="preserve">Revised </w:t>
            </w:r>
            <w:r w:rsidR="00974C8E">
              <w:rPr>
                <w:sz w:val="18"/>
                <w:szCs w:val="18"/>
              </w:rPr>
              <w:t>8</w:t>
            </w:r>
            <w:r w:rsidRPr="00132C1E">
              <w:rPr>
                <w:sz w:val="18"/>
                <w:szCs w:val="18"/>
              </w:rPr>
              <w:t>/</w:t>
            </w:r>
            <w:r w:rsidR="00974C8E">
              <w:rPr>
                <w:sz w:val="18"/>
                <w:szCs w:val="18"/>
              </w:rPr>
              <w:t>31</w:t>
            </w:r>
            <w:r w:rsidRPr="00132C1E">
              <w:rPr>
                <w:sz w:val="18"/>
                <w:szCs w:val="18"/>
              </w:rPr>
              <w:t>/</w:t>
            </w:r>
            <w:r w:rsidR="00974C8E">
              <w:rPr>
                <w:sz w:val="18"/>
                <w:szCs w:val="18"/>
              </w:rPr>
              <w:t>22</w:t>
            </w:r>
            <w:r w:rsidRPr="00132C1E">
              <w:rPr>
                <w:sz w:val="18"/>
                <w:szCs w:val="18"/>
              </w:rPr>
              <w:t xml:space="preserve">                                                                                                                         </w:t>
            </w:r>
            <w:r>
              <w:rPr>
                <w:sz w:val="18"/>
                <w:szCs w:val="18"/>
              </w:rPr>
              <w:t xml:space="preserve">                                                     </w:t>
            </w:r>
            <w:r w:rsidRPr="00132C1E">
              <w:rPr>
                <w:sz w:val="16"/>
                <w:szCs w:val="16"/>
              </w:rPr>
              <w:t xml:space="preserve"> </w:t>
            </w:r>
            <w:r w:rsidRPr="00132C1E">
              <w:rPr>
                <w:sz w:val="20"/>
                <w:szCs w:val="20"/>
              </w:rPr>
              <w:t xml:space="preserve">Page </w:t>
            </w:r>
            <w:r w:rsidRPr="00132C1E">
              <w:rPr>
                <w:b/>
                <w:bCs/>
              </w:rPr>
              <w:fldChar w:fldCharType="begin"/>
            </w:r>
            <w:r w:rsidRPr="00132C1E">
              <w:rPr>
                <w:b/>
                <w:bCs/>
                <w:sz w:val="20"/>
                <w:szCs w:val="20"/>
              </w:rPr>
              <w:instrText xml:space="preserve"> PAGE </w:instrText>
            </w:r>
            <w:r w:rsidRPr="00132C1E">
              <w:rPr>
                <w:b/>
                <w:bCs/>
              </w:rPr>
              <w:fldChar w:fldCharType="separate"/>
            </w:r>
            <w:r w:rsidRPr="00132C1E">
              <w:rPr>
                <w:b/>
                <w:bCs/>
                <w:noProof/>
                <w:sz w:val="20"/>
                <w:szCs w:val="20"/>
              </w:rPr>
              <w:t>2</w:t>
            </w:r>
            <w:r w:rsidRPr="00132C1E">
              <w:rPr>
                <w:b/>
                <w:bCs/>
              </w:rPr>
              <w:fldChar w:fldCharType="end"/>
            </w:r>
            <w:r w:rsidRPr="00132C1E">
              <w:rPr>
                <w:b/>
                <w:bCs/>
              </w:rPr>
              <w:t xml:space="preserve"> </w:t>
            </w:r>
            <w:r w:rsidRPr="00132C1E">
              <w:rPr>
                <w:sz w:val="20"/>
                <w:szCs w:val="20"/>
              </w:rPr>
              <w:t xml:space="preserve">of </w:t>
            </w:r>
            <w:r w:rsidRPr="00132C1E">
              <w:rPr>
                <w:b/>
                <w:bCs/>
              </w:rPr>
              <w:fldChar w:fldCharType="begin"/>
            </w:r>
            <w:r w:rsidRPr="00132C1E">
              <w:rPr>
                <w:b/>
                <w:bCs/>
                <w:sz w:val="20"/>
                <w:szCs w:val="20"/>
              </w:rPr>
              <w:instrText xml:space="preserve"> NUMPAGES  </w:instrText>
            </w:r>
            <w:r w:rsidRPr="00132C1E">
              <w:rPr>
                <w:b/>
                <w:bCs/>
              </w:rPr>
              <w:fldChar w:fldCharType="separate"/>
            </w:r>
            <w:r w:rsidRPr="00132C1E">
              <w:rPr>
                <w:b/>
                <w:bCs/>
                <w:noProof/>
                <w:sz w:val="20"/>
                <w:szCs w:val="20"/>
              </w:rPr>
              <w:t>2</w:t>
            </w:r>
            <w:r w:rsidRPr="00132C1E">
              <w:rPr>
                <w:b/>
                <w:bCs/>
              </w:rPr>
              <w:fldChar w:fldCharType="end"/>
            </w:r>
          </w:p>
          <w:p w14:paraId="01884B10" w14:textId="6F211132" w:rsidR="00132C1E" w:rsidRDefault="00000000" w:rsidP="00132C1E">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E8C8" w14:textId="77777777" w:rsidR="00E92A30" w:rsidRDefault="00E92A30" w:rsidP="00F96875">
      <w:pPr>
        <w:spacing w:after="0" w:line="240" w:lineRule="auto"/>
      </w:pPr>
      <w:r>
        <w:separator/>
      </w:r>
    </w:p>
  </w:footnote>
  <w:footnote w:type="continuationSeparator" w:id="0">
    <w:p w14:paraId="45A4D27A" w14:textId="77777777" w:rsidR="00E92A30" w:rsidRDefault="00E92A30" w:rsidP="00F9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2" w:type="pct"/>
      <w:tblInd w:w="-113" w:type="dxa"/>
      <w:tblBorders>
        <w:bottom w:val="single" w:sz="18" w:space="0" w:color="808080"/>
        <w:insideV w:val="single" w:sz="18" w:space="0" w:color="808080"/>
      </w:tblBorders>
      <w:tblCellMar>
        <w:top w:w="72" w:type="dxa"/>
        <w:left w:w="115" w:type="dxa"/>
        <w:bottom w:w="72" w:type="dxa"/>
        <w:right w:w="115" w:type="dxa"/>
      </w:tblCellMar>
      <w:tblLook w:val="0000" w:firstRow="0" w:lastRow="0" w:firstColumn="0" w:lastColumn="0" w:noHBand="0" w:noVBand="0"/>
    </w:tblPr>
    <w:tblGrid>
      <w:gridCol w:w="8336"/>
      <w:gridCol w:w="1215"/>
    </w:tblGrid>
    <w:tr w:rsidR="00F61A98" w:rsidRPr="000B7085" w14:paraId="4FB58ADC" w14:textId="77777777" w:rsidTr="008B29EA">
      <w:trPr>
        <w:trHeight w:val="374"/>
      </w:trPr>
      <w:tc>
        <w:tcPr>
          <w:tcW w:w="8566" w:type="dxa"/>
          <w:tcBorders>
            <w:top w:val="nil"/>
            <w:left w:val="nil"/>
            <w:bottom w:val="single" w:sz="18" w:space="0" w:color="808080"/>
          </w:tcBorders>
        </w:tcPr>
        <w:p w14:paraId="064C8194" w14:textId="77777777" w:rsidR="00F61A98" w:rsidRPr="000B7085" w:rsidRDefault="00DA0E84" w:rsidP="00F61A98">
          <w:pPr>
            <w:pStyle w:val="Header"/>
            <w:rPr>
              <w:rFonts w:ascii="Cambria" w:hAnsi="Cambria" w:cs="Cambria"/>
              <w:sz w:val="36"/>
              <w:szCs w:val="36"/>
            </w:rPr>
          </w:pPr>
          <w:r>
            <w:rPr>
              <w:rFonts w:ascii="Cambria" w:hAnsi="Cambria" w:cs="Cambria"/>
              <w:noProof/>
              <w:sz w:val="32"/>
              <w:szCs w:val="32"/>
            </w:rPr>
            <w:drawing>
              <wp:inline distT="0" distB="0" distL="0" distR="0" wp14:anchorId="599AA514" wp14:editId="5B1B88DA">
                <wp:extent cx="880223" cy="2108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80223" cy="210899"/>
                        </a:xfrm>
                        <a:prstGeom prst="rect">
                          <a:avLst/>
                        </a:prstGeom>
                      </pic:spPr>
                    </pic:pic>
                  </a:graphicData>
                </a:graphic>
              </wp:inline>
            </w:drawing>
          </w:r>
          <w:r>
            <w:rPr>
              <w:rFonts w:ascii="Cambria" w:hAnsi="Cambria" w:cs="Cambria"/>
              <w:sz w:val="32"/>
              <w:szCs w:val="32"/>
            </w:rPr>
            <w:t xml:space="preserve">      Client Data Import Statement of Work </w:t>
          </w:r>
        </w:p>
      </w:tc>
      <w:tc>
        <w:tcPr>
          <w:tcW w:w="1219" w:type="dxa"/>
          <w:tcBorders>
            <w:top w:val="nil"/>
            <w:bottom w:val="single" w:sz="18" w:space="0" w:color="808080"/>
            <w:right w:val="nil"/>
          </w:tcBorders>
        </w:tcPr>
        <w:p w14:paraId="4013B939" w14:textId="574766C6" w:rsidR="00F61A98" w:rsidRPr="000B7085" w:rsidRDefault="00DA0E84" w:rsidP="00F61A98">
          <w:pPr>
            <w:pStyle w:val="Header"/>
            <w:rPr>
              <w:rFonts w:ascii="Cambria" w:hAnsi="Cambria" w:cs="Cambria"/>
              <w:b/>
              <w:bCs/>
              <w:color w:val="808080" w:themeColor="background1" w:themeShade="80"/>
              <w:sz w:val="36"/>
              <w:szCs w:val="36"/>
            </w:rPr>
          </w:pPr>
          <w:r w:rsidRPr="000B7085">
            <w:rPr>
              <w:rFonts w:ascii="Cambria" w:hAnsi="Cambria" w:cs="Cambria"/>
              <w:b/>
              <w:bCs/>
              <w:color w:val="808080" w:themeColor="background1" w:themeShade="80"/>
              <w:sz w:val="36"/>
              <w:szCs w:val="36"/>
            </w:rPr>
            <w:t>20</w:t>
          </w:r>
          <w:r w:rsidR="00AE0C29">
            <w:rPr>
              <w:rFonts w:ascii="Cambria" w:hAnsi="Cambria" w:cs="Cambria"/>
              <w:b/>
              <w:bCs/>
              <w:color w:val="808080" w:themeColor="background1" w:themeShade="80"/>
              <w:sz w:val="36"/>
              <w:szCs w:val="36"/>
            </w:rPr>
            <w:t>22</w:t>
          </w:r>
        </w:p>
      </w:tc>
    </w:tr>
  </w:tbl>
  <w:p w14:paraId="029CFAE2" w14:textId="77777777" w:rsidR="00F61A98" w:rsidRPr="00F61A98" w:rsidRDefault="00000000" w:rsidP="00F61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A5C"/>
    <w:multiLevelType w:val="hybridMultilevel"/>
    <w:tmpl w:val="806E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5474"/>
    <w:multiLevelType w:val="hybridMultilevel"/>
    <w:tmpl w:val="357C2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05376"/>
    <w:multiLevelType w:val="hybridMultilevel"/>
    <w:tmpl w:val="27705ADE"/>
    <w:lvl w:ilvl="0" w:tplc="F66EA2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349A1"/>
    <w:multiLevelType w:val="hybridMultilevel"/>
    <w:tmpl w:val="E94A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F0023"/>
    <w:multiLevelType w:val="hybridMultilevel"/>
    <w:tmpl w:val="E2544ACA"/>
    <w:lvl w:ilvl="0" w:tplc="F66EA2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C0567"/>
    <w:multiLevelType w:val="hybridMultilevel"/>
    <w:tmpl w:val="C506025C"/>
    <w:lvl w:ilvl="0" w:tplc="BBE24E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F532C"/>
    <w:multiLevelType w:val="hybridMultilevel"/>
    <w:tmpl w:val="4E56D22C"/>
    <w:lvl w:ilvl="0" w:tplc="893E76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983547">
    <w:abstractNumId w:val="6"/>
  </w:num>
  <w:num w:numId="2" w16cid:durableId="126320020">
    <w:abstractNumId w:val="0"/>
  </w:num>
  <w:num w:numId="3" w16cid:durableId="2011902752">
    <w:abstractNumId w:val="5"/>
  </w:num>
  <w:num w:numId="4" w16cid:durableId="1293708087">
    <w:abstractNumId w:val="2"/>
  </w:num>
  <w:num w:numId="5" w16cid:durableId="1172986962">
    <w:abstractNumId w:val="1"/>
  </w:num>
  <w:num w:numId="6" w16cid:durableId="1959531516">
    <w:abstractNumId w:val="3"/>
  </w:num>
  <w:num w:numId="7" w16cid:durableId="13394298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9A"/>
    <w:rsid w:val="000140CF"/>
    <w:rsid w:val="000E1B84"/>
    <w:rsid w:val="00132C1E"/>
    <w:rsid w:val="00144903"/>
    <w:rsid w:val="0019141C"/>
    <w:rsid w:val="001A2881"/>
    <w:rsid w:val="001F386F"/>
    <w:rsid w:val="002A65FC"/>
    <w:rsid w:val="002C6640"/>
    <w:rsid w:val="005020ED"/>
    <w:rsid w:val="006D623A"/>
    <w:rsid w:val="007728D5"/>
    <w:rsid w:val="007921C2"/>
    <w:rsid w:val="007946F1"/>
    <w:rsid w:val="007D3B9A"/>
    <w:rsid w:val="00947E12"/>
    <w:rsid w:val="00974C8E"/>
    <w:rsid w:val="00A22E8F"/>
    <w:rsid w:val="00A8247A"/>
    <w:rsid w:val="00AE0C29"/>
    <w:rsid w:val="00BE32B1"/>
    <w:rsid w:val="00DA0E84"/>
    <w:rsid w:val="00DD33EC"/>
    <w:rsid w:val="00E55754"/>
    <w:rsid w:val="00E92A30"/>
    <w:rsid w:val="00F22EA4"/>
    <w:rsid w:val="00F9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78FD2"/>
  <w15:chartTrackingRefBased/>
  <w15:docId w15:val="{C2DB328F-F5F2-40CB-9B29-064C7D29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B9A"/>
  </w:style>
  <w:style w:type="paragraph" w:styleId="Heading1">
    <w:name w:val="heading 1"/>
    <w:basedOn w:val="Normal"/>
    <w:next w:val="Normal"/>
    <w:link w:val="Heading1Char"/>
    <w:uiPriority w:val="9"/>
    <w:qFormat/>
    <w:rsid w:val="007D3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9A"/>
    <w:rPr>
      <w:color w:val="0563C1" w:themeColor="hyperlink"/>
      <w:u w:val="single"/>
    </w:rPr>
  </w:style>
  <w:style w:type="paragraph" w:styleId="ListParagraph">
    <w:name w:val="List Paragraph"/>
    <w:basedOn w:val="Normal"/>
    <w:uiPriority w:val="34"/>
    <w:qFormat/>
    <w:rsid w:val="007D3B9A"/>
    <w:pPr>
      <w:ind w:left="720"/>
      <w:contextualSpacing/>
    </w:pPr>
  </w:style>
  <w:style w:type="paragraph" w:styleId="Header">
    <w:name w:val="header"/>
    <w:basedOn w:val="Normal"/>
    <w:link w:val="HeaderChar"/>
    <w:uiPriority w:val="99"/>
    <w:unhideWhenUsed/>
    <w:rsid w:val="007D3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B9A"/>
  </w:style>
  <w:style w:type="paragraph" w:styleId="Footer">
    <w:name w:val="footer"/>
    <w:basedOn w:val="Normal"/>
    <w:link w:val="FooterChar"/>
    <w:uiPriority w:val="99"/>
    <w:unhideWhenUsed/>
    <w:rsid w:val="007D3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B9A"/>
  </w:style>
  <w:style w:type="character" w:customStyle="1" w:styleId="Heading1Char">
    <w:name w:val="Heading 1 Char"/>
    <w:basedOn w:val="DefaultParagraphFont"/>
    <w:link w:val="Heading1"/>
    <w:uiPriority w:val="9"/>
    <w:rsid w:val="007D3B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D3B9A"/>
    <w:pPr>
      <w:outlineLvl w:val="9"/>
    </w:pPr>
  </w:style>
  <w:style w:type="paragraph" w:styleId="TOC1">
    <w:name w:val="toc 1"/>
    <w:basedOn w:val="Normal"/>
    <w:next w:val="Normal"/>
    <w:autoRedefine/>
    <w:uiPriority w:val="39"/>
    <w:unhideWhenUsed/>
    <w:rsid w:val="0019141C"/>
    <w:pPr>
      <w:spacing w:after="100"/>
    </w:pPr>
    <w:rPr>
      <w:rFonts w:cstheme="minorHAnsi"/>
      <w:b/>
      <w:bCs/>
    </w:rPr>
  </w:style>
  <w:style w:type="paragraph" w:styleId="TOC2">
    <w:name w:val="toc 2"/>
    <w:basedOn w:val="Normal"/>
    <w:next w:val="Normal"/>
    <w:autoRedefine/>
    <w:uiPriority w:val="39"/>
    <w:unhideWhenUsed/>
    <w:rsid w:val="007D3B9A"/>
    <w:pPr>
      <w:spacing w:after="100"/>
      <w:ind w:left="220"/>
    </w:pPr>
    <w:rPr>
      <w:rFonts w:eastAsiaTheme="minorEastAsia" w:cs="Times New Roman"/>
    </w:rPr>
  </w:style>
  <w:style w:type="paragraph" w:styleId="TOC3">
    <w:name w:val="toc 3"/>
    <w:basedOn w:val="Normal"/>
    <w:next w:val="Normal"/>
    <w:autoRedefine/>
    <w:uiPriority w:val="39"/>
    <w:unhideWhenUsed/>
    <w:rsid w:val="007D3B9A"/>
    <w:pPr>
      <w:spacing w:after="100"/>
      <w:ind w:left="440"/>
    </w:pPr>
    <w:rPr>
      <w:rFonts w:eastAsiaTheme="minorEastAsia" w:cs="Times New Roman"/>
    </w:rPr>
  </w:style>
  <w:style w:type="table" w:styleId="TableGrid">
    <w:name w:val="Table Grid"/>
    <w:basedOn w:val="TableNormal"/>
    <w:uiPriority w:val="39"/>
    <w:rsid w:val="007D3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4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591854">
      <w:bodyDiv w:val="1"/>
      <w:marLeft w:val="0"/>
      <w:marRight w:val="0"/>
      <w:marTop w:val="0"/>
      <w:marBottom w:val="0"/>
      <w:divBdr>
        <w:top w:val="none" w:sz="0" w:space="0" w:color="auto"/>
        <w:left w:val="none" w:sz="0" w:space="0" w:color="auto"/>
        <w:bottom w:val="none" w:sz="0" w:space="0" w:color="auto"/>
        <w:right w:val="none" w:sz="0" w:space="0" w:color="auto"/>
      </w:divBdr>
    </w:div>
    <w:div w:id="18252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ation@forte.net" TargetMode="External"/><Relationship Id="rId13" Type="http://schemas.openxmlformats.org/officeDocument/2006/relationships/hyperlink" Target="https://support.forte.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tegration@forte.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gration@forte.net" TargetMode="External"/><Relationship Id="rId5" Type="http://schemas.openxmlformats.org/officeDocument/2006/relationships/footnotes" Target="footnotes.xml"/><Relationship Id="rId15" Type="http://schemas.openxmlformats.org/officeDocument/2006/relationships/hyperlink" Target="mailto:Jeanette.Mbungo@csgi.com" TargetMode="External"/><Relationship Id="rId10" Type="http://schemas.openxmlformats.org/officeDocument/2006/relationships/hyperlink" Target="https://support.forte.net/support/solutions/articles/11000055423-what-is-the-forte-third-party-file-transfer-public-ke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sult@forte.net" TargetMode="External"/><Relationship Id="rId14" Type="http://schemas.openxmlformats.org/officeDocument/2006/relationships/hyperlink" Target="mailto:Glenda.Johnson@csg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6</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Petties</dc:creator>
  <cp:keywords/>
  <dc:description/>
  <cp:lastModifiedBy>Luis Suárez</cp:lastModifiedBy>
  <cp:revision>8</cp:revision>
  <dcterms:created xsi:type="dcterms:W3CDTF">2019-06-14T18:40:00Z</dcterms:created>
  <dcterms:modified xsi:type="dcterms:W3CDTF">2022-08-31T16:37:00Z</dcterms:modified>
</cp:coreProperties>
</file>